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B6A5F" w:rsidRDefault="00FD7C11">
      <w:pPr>
        <w:pStyle w:val="Numro"/>
      </w:pPr>
      <w:r>
        <w:rPr>
          <w:noProof/>
          <w:sz w:val="20"/>
        </w:rPr>
        <mc:AlternateContent>
          <mc:Choice Requires="wps">
            <w:drawing>
              <wp:anchor distT="0" distB="0" distL="114300" distR="114300" simplePos="0" relativeHeight="251657728" behindDoc="0" locked="0" layoutInCell="0" allowOverlap="1">
                <wp:simplePos x="0" y="0"/>
                <wp:positionH relativeFrom="column">
                  <wp:posOffset>-76200</wp:posOffset>
                </wp:positionH>
                <wp:positionV relativeFrom="paragraph">
                  <wp:posOffset>-523875</wp:posOffset>
                </wp:positionV>
                <wp:extent cx="1714500" cy="457200"/>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6A5F" w:rsidRDefault="003F048E">
                            <w:pPr>
                              <w:pStyle w:val="InitialesduRdacteur"/>
                            </w:pPr>
                            <w:r>
                              <w:t>P</w:t>
                            </w:r>
                            <w:r w:rsidR="00DB2740">
                              <w:t>R</w:t>
                            </w:r>
                            <w:r w:rsidR="00E16432">
                              <w:t>ess/DFCP/SIF/</w:t>
                            </w:r>
                            <w:r w:rsidR="00BF29CA">
                              <w:t>BL</w:t>
                            </w:r>
                            <w:r>
                              <w:tab/>
                            </w:r>
                          </w:p>
                          <w:p w:rsidR="00EB6A5F" w:rsidRDefault="00EB6A5F">
                            <w:pPr>
                              <w:pStyle w:val="InitialesduRdacteur"/>
                            </w:pPr>
                            <w:r>
                              <w:t xml:space="preserve">Rapporteur : </w:t>
                            </w:r>
                            <w:r w:rsidR="00731365">
                              <w:t xml:space="preserve">Mme </w:t>
                            </w:r>
                            <w:r w:rsidR="005E065F">
                              <w:t>Ducamin</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pt;margin-top:-41.25pt;width:13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" o:allowincell="f" stroked="f">
                <v:textbox inset=",,0">
                  <w:txbxContent>
                    <w:p w:rsidR="00EB6A5F" w:rsidRDefault="003F048E">
                      <w:pPr>
                        <w:pStyle w:val="InitialesduRdacteur"/>
                      </w:pPr>
                      <w:proofErr w:type="spellStart"/>
                      <w:r>
                        <w:t>P</w:t>
                      </w:r>
                      <w:r w:rsidR="00DB2740">
                        <w:t>R</w:t>
                      </w:r>
                      <w:r w:rsidR="00E16432">
                        <w:t>ess</w:t>
                      </w:r>
                      <w:proofErr w:type="spellEnd"/>
                      <w:r w:rsidR="00E16432">
                        <w:t>/DFCP/SIF/</w:t>
                      </w:r>
                      <w:r w:rsidR="00BF29CA">
                        <w:t>BL</w:t>
                      </w:r>
                      <w:r>
                        <w:tab/>
                      </w:r>
                    </w:p>
                    <w:p w:rsidR="00EB6A5F" w:rsidRDefault="00EB6A5F">
                      <w:pPr>
                        <w:pStyle w:val="InitialesduRdacteur"/>
                      </w:pPr>
                      <w:r>
                        <w:t xml:space="preserve">Rapporteur : </w:t>
                      </w:r>
                      <w:r w:rsidR="00731365">
                        <w:t xml:space="preserve">Mme </w:t>
                      </w:r>
                      <w:proofErr w:type="spellStart"/>
                      <w:r w:rsidR="005E065F">
                        <w:t>Ducamin</w:t>
                      </w:r>
                      <w:proofErr w:type="spellEnd"/>
                    </w:p>
                  </w:txbxContent>
                </v:textbox>
              </v:shape>
            </w:pict>
          </mc:Fallback>
        </mc:AlternateContent>
      </w:r>
      <w:r w:rsidR="00EB6A5F">
        <w:t xml:space="preserve">N° </w:t>
      </w:r>
      <w:r w:rsidR="00B0218D">
        <w:t>C 21.037</w:t>
      </w:r>
    </w:p>
    <w:p w:rsidR="00EB6A5F" w:rsidRDefault="00EB6A5F">
      <w:pPr>
        <w:pStyle w:val="Numro"/>
        <w:jc w:val="both"/>
        <w:rPr>
          <w:sz w:val="32"/>
        </w:rPr>
      </w:pPr>
      <w:r>
        <w:rPr>
          <w:sz w:val="32"/>
        </w:rPr>
        <w:t xml:space="preserve">Finances – Taxe d’enlèvement des ordures ménagères (T.E.O.M.) – Fixation </w:t>
      </w:r>
      <w:r w:rsidR="00E16432">
        <w:rPr>
          <w:sz w:val="32"/>
        </w:rPr>
        <w:t xml:space="preserve">des taux </w:t>
      </w:r>
      <w:r w:rsidR="002E39AD">
        <w:rPr>
          <w:sz w:val="32"/>
        </w:rPr>
        <w:t>pour 2021</w:t>
      </w:r>
    </w:p>
    <w:p w:rsidR="00EB6A5F" w:rsidRDefault="00EB6A5F">
      <w:pPr>
        <w:pStyle w:val="Textecourrier"/>
        <w:rPr>
          <w:noProof w:val="0"/>
        </w:rPr>
      </w:pPr>
    </w:p>
    <w:p w:rsidR="00136023" w:rsidRPr="00366816" w:rsidRDefault="00136023" w:rsidP="00136023">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136023" w:rsidRPr="00136023" w:rsidRDefault="00136023" w:rsidP="00136023">
      <w:pPr>
        <w:ind w:right="-94"/>
        <w:jc w:val="both"/>
        <w:rPr>
          <w:rFonts w:ascii="Arial Narrow" w:hAnsi="Arial Narrow"/>
          <w:sz w:val="18"/>
          <w:szCs w:val="18"/>
        </w:rPr>
      </w:pPr>
    </w:p>
    <w:p w:rsidR="00136023" w:rsidRPr="00136023" w:rsidRDefault="00136023" w:rsidP="00136023">
      <w:pPr>
        <w:ind w:right="48"/>
        <w:jc w:val="both"/>
        <w:rPr>
          <w:rFonts w:ascii="Arial Narrow" w:hAnsi="Arial Narrow"/>
          <w:sz w:val="18"/>
          <w:szCs w:val="18"/>
        </w:rPr>
      </w:pPr>
      <w:r w:rsidRPr="00136023">
        <w:rPr>
          <w:rFonts w:ascii="Arial Narrow" w:hAnsi="Arial Narrow"/>
          <w:sz w:val="18"/>
          <w:szCs w:val="18"/>
        </w:rPr>
        <w:t>La séance est ouverte à 18h36.</w:t>
      </w:r>
    </w:p>
    <w:p w:rsidR="00136023" w:rsidRPr="00136023" w:rsidRDefault="00136023" w:rsidP="00136023">
      <w:pPr>
        <w:ind w:right="-94"/>
        <w:jc w:val="both"/>
        <w:rPr>
          <w:rFonts w:ascii="Arial Narrow" w:hAnsi="Arial Narrow"/>
          <w:sz w:val="18"/>
          <w:szCs w:val="18"/>
        </w:rPr>
      </w:pPr>
    </w:p>
    <w:p w:rsidR="00136023" w:rsidRPr="00136023" w:rsidRDefault="00136023" w:rsidP="00136023">
      <w:pPr>
        <w:ind w:right="-94"/>
        <w:jc w:val="both"/>
        <w:rPr>
          <w:rFonts w:ascii="Arial Narrow" w:hAnsi="Arial Narrow"/>
          <w:sz w:val="18"/>
          <w:szCs w:val="18"/>
        </w:rPr>
      </w:pPr>
      <w:r w:rsidRPr="00136023">
        <w:rPr>
          <w:rFonts w:ascii="Arial Narrow" w:hAnsi="Arial Narrow"/>
          <w:b/>
          <w:sz w:val="18"/>
          <w:szCs w:val="18"/>
        </w:rPr>
        <w:t>Présents :</w:t>
      </w:r>
      <w:r w:rsidRPr="00136023">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136023" w:rsidRPr="00136023" w:rsidRDefault="00136023" w:rsidP="00136023">
      <w:pPr>
        <w:ind w:right="-94"/>
        <w:jc w:val="both"/>
        <w:rPr>
          <w:rFonts w:ascii="Arial Narrow" w:hAnsi="Arial Narrow"/>
          <w:sz w:val="18"/>
          <w:szCs w:val="18"/>
        </w:rPr>
      </w:pPr>
    </w:p>
    <w:p w:rsidR="00136023" w:rsidRPr="00136023" w:rsidRDefault="00136023" w:rsidP="00136023">
      <w:pPr>
        <w:ind w:right="-94"/>
        <w:jc w:val="both"/>
        <w:rPr>
          <w:rFonts w:ascii="Arial Narrow" w:hAnsi="Arial Narrow"/>
          <w:sz w:val="18"/>
          <w:szCs w:val="18"/>
        </w:rPr>
      </w:pPr>
      <w:r w:rsidRPr="00136023">
        <w:rPr>
          <w:rFonts w:ascii="Arial Narrow" w:hAnsi="Arial Narrow"/>
          <w:b/>
          <w:sz w:val="18"/>
          <w:szCs w:val="18"/>
        </w:rPr>
        <w:t>Ont donné procuration</w:t>
      </w:r>
      <w:r w:rsidRPr="00136023">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136023" w:rsidRPr="00136023" w:rsidRDefault="00136023" w:rsidP="00136023">
      <w:pPr>
        <w:ind w:right="-94"/>
        <w:jc w:val="both"/>
        <w:rPr>
          <w:rFonts w:ascii="Arial Narrow" w:hAnsi="Arial Narrow"/>
          <w:sz w:val="18"/>
          <w:szCs w:val="18"/>
        </w:rPr>
      </w:pPr>
    </w:p>
    <w:p w:rsidR="00136023" w:rsidRPr="00136023" w:rsidRDefault="00136023" w:rsidP="00136023">
      <w:pPr>
        <w:ind w:right="-94"/>
        <w:jc w:val="both"/>
        <w:rPr>
          <w:rFonts w:ascii="Arial Narrow" w:hAnsi="Arial Narrow"/>
          <w:sz w:val="18"/>
          <w:szCs w:val="18"/>
        </w:rPr>
      </w:pPr>
      <w:r w:rsidRPr="00136023">
        <w:rPr>
          <w:rFonts w:ascii="Arial Narrow" w:hAnsi="Arial Narrow"/>
          <w:b/>
          <w:sz w:val="18"/>
          <w:szCs w:val="18"/>
        </w:rPr>
        <w:t xml:space="preserve">Absents/Excusés : </w:t>
      </w:r>
      <w:r w:rsidRPr="00136023">
        <w:rPr>
          <w:rFonts w:ascii="Arial Narrow" w:hAnsi="Arial Narrow"/>
          <w:sz w:val="18"/>
          <w:szCs w:val="18"/>
        </w:rPr>
        <w:t>057 KERMARREC Alain.</w:t>
      </w:r>
    </w:p>
    <w:p w:rsidR="00136023" w:rsidRPr="00136023" w:rsidRDefault="00136023" w:rsidP="00136023">
      <w:pPr>
        <w:ind w:right="-94"/>
        <w:jc w:val="both"/>
        <w:rPr>
          <w:rFonts w:ascii="Arial Narrow" w:hAnsi="Arial Narrow"/>
          <w:sz w:val="18"/>
          <w:szCs w:val="18"/>
        </w:rPr>
      </w:pPr>
    </w:p>
    <w:p w:rsidR="00136023" w:rsidRPr="00136023" w:rsidRDefault="00136023" w:rsidP="00136023">
      <w:pPr>
        <w:ind w:right="-94"/>
        <w:jc w:val="both"/>
        <w:rPr>
          <w:rFonts w:ascii="Arial Narrow" w:hAnsi="Arial Narrow"/>
          <w:sz w:val="18"/>
          <w:szCs w:val="18"/>
        </w:rPr>
      </w:pPr>
      <w:r w:rsidRPr="00136023">
        <w:rPr>
          <w:rFonts w:ascii="Arial Narrow" w:hAnsi="Arial Narrow"/>
          <w:sz w:val="18"/>
          <w:szCs w:val="18"/>
        </w:rPr>
        <w:t>M. Nadesan est nommé secrétaire de séance.</w:t>
      </w:r>
    </w:p>
    <w:p w:rsidR="00136023" w:rsidRPr="00136023" w:rsidRDefault="00136023" w:rsidP="00136023">
      <w:pPr>
        <w:ind w:right="-94"/>
        <w:jc w:val="both"/>
        <w:rPr>
          <w:rFonts w:ascii="Arial Narrow" w:hAnsi="Arial Narrow"/>
          <w:sz w:val="18"/>
          <w:szCs w:val="18"/>
        </w:rPr>
      </w:pPr>
    </w:p>
    <w:p w:rsidR="00136023" w:rsidRPr="00136023" w:rsidRDefault="00136023" w:rsidP="00136023">
      <w:pPr>
        <w:pStyle w:val="Corpsdetexte"/>
        <w:ind w:right="-94"/>
        <w:rPr>
          <w:sz w:val="18"/>
          <w:szCs w:val="18"/>
        </w:rPr>
      </w:pPr>
      <w:r w:rsidRPr="00136023">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136023" w:rsidRPr="00136023" w:rsidRDefault="00136023" w:rsidP="00136023">
      <w:pPr>
        <w:pStyle w:val="Corpsdetexte"/>
        <w:ind w:right="-94"/>
        <w:rPr>
          <w:sz w:val="18"/>
          <w:szCs w:val="18"/>
        </w:rPr>
      </w:pPr>
    </w:p>
    <w:p w:rsidR="00136023" w:rsidRPr="00136023" w:rsidRDefault="00136023" w:rsidP="00136023">
      <w:pPr>
        <w:ind w:right="-94"/>
        <w:jc w:val="both"/>
        <w:rPr>
          <w:rFonts w:ascii="Arial Narrow" w:hAnsi="Arial Narrow"/>
          <w:sz w:val="18"/>
          <w:szCs w:val="18"/>
        </w:rPr>
      </w:pPr>
      <w:r w:rsidRPr="00136023">
        <w:rPr>
          <w:rFonts w:ascii="Arial Narrow" w:hAnsi="Arial Narrow"/>
          <w:sz w:val="18"/>
          <w:szCs w:val="18"/>
        </w:rPr>
        <w:t>La séance est levée à 21h01.</w:t>
      </w:r>
    </w:p>
    <w:p w:rsidR="00136023" w:rsidRPr="00136023" w:rsidRDefault="00136023">
      <w:pPr>
        <w:pStyle w:val="Textecourrier"/>
        <w:rPr>
          <w:noProof w:val="0"/>
          <w:sz w:val="18"/>
          <w:szCs w:val="18"/>
        </w:rPr>
      </w:pPr>
    </w:p>
    <w:p w:rsidR="00B0218D" w:rsidRDefault="00B0218D">
      <w:pPr>
        <w:rPr>
          <w:rFonts w:ascii="Arial Narrow" w:eastAsia="Arial Unicode MS" w:hAnsi="Arial Narrow" w:cs="Arial"/>
          <w:sz w:val="22"/>
        </w:rPr>
      </w:pPr>
      <w:r>
        <w:br w:type="page"/>
      </w:r>
    </w:p>
    <w:p w:rsidR="005E065F" w:rsidRDefault="005E065F">
      <w:pPr>
        <w:pStyle w:val="Textecourrier"/>
        <w:rPr>
          <w:noProof w:val="0"/>
        </w:rPr>
      </w:pPr>
    </w:p>
    <w:p w:rsidR="00EB6A5F" w:rsidRDefault="00EB6A5F">
      <w:pPr>
        <w:pStyle w:val="Vu"/>
        <w:jc w:val="both"/>
        <w:rPr>
          <w:noProof w:val="0"/>
        </w:rPr>
      </w:pPr>
      <w:r>
        <w:rPr>
          <w:noProof w:val="0"/>
        </w:rPr>
        <w:t>Vu le Code Général des Impôts ;</w:t>
      </w:r>
    </w:p>
    <w:p w:rsidR="00EB6A5F" w:rsidRDefault="00EB6A5F">
      <w:pPr>
        <w:pStyle w:val="Vu"/>
        <w:jc w:val="both"/>
        <w:rPr>
          <w:noProof w:val="0"/>
        </w:rPr>
      </w:pPr>
      <w:r>
        <w:rPr>
          <w:noProof w:val="0"/>
        </w:rPr>
        <w:t>Vu la Loi n° 2004-1485 du 30 décembre 2004, dite Loi de Finances initiale pour 2005 et notamment son article 10 ;</w:t>
      </w:r>
    </w:p>
    <w:p w:rsidR="00EB6A5F" w:rsidRDefault="00EB6A5F">
      <w:pPr>
        <w:pStyle w:val="Vu"/>
        <w:jc w:val="both"/>
        <w:rPr>
          <w:noProof w:val="0"/>
        </w:rPr>
      </w:pPr>
      <w:r>
        <w:rPr>
          <w:noProof w:val="0"/>
        </w:rPr>
        <w:t>Vu la Loi n° 2005-1719 du 30 décembre 2005 dite Loi de finances pour 2006 et notamment son article 94 ;</w:t>
      </w:r>
    </w:p>
    <w:p w:rsidR="00915954" w:rsidRDefault="006A72EE">
      <w:pPr>
        <w:pStyle w:val="Vu"/>
        <w:jc w:val="both"/>
        <w:rPr>
          <w:noProof w:val="0"/>
        </w:rPr>
      </w:pPr>
      <w:r>
        <w:rPr>
          <w:noProof w:val="0"/>
        </w:rPr>
        <w:t xml:space="preserve">Vu la Loi </w:t>
      </w:r>
      <w:r w:rsidRPr="006A72EE">
        <w:rPr>
          <w:noProof w:val="0"/>
        </w:rPr>
        <w:t xml:space="preserve">n° 2018-1317 du 28 décembre 2018 </w:t>
      </w:r>
      <w:r>
        <w:rPr>
          <w:noProof w:val="0"/>
        </w:rPr>
        <w:t xml:space="preserve">dite Loi </w:t>
      </w:r>
      <w:r w:rsidRPr="006A72EE">
        <w:rPr>
          <w:noProof w:val="0"/>
        </w:rPr>
        <w:t>de finances pour 2019</w:t>
      </w:r>
      <w:r>
        <w:rPr>
          <w:noProof w:val="0"/>
        </w:rPr>
        <w:t xml:space="preserve"> et notamment son article 23 ;</w:t>
      </w:r>
    </w:p>
    <w:p w:rsidR="001E2963" w:rsidRDefault="001E2963">
      <w:pPr>
        <w:pStyle w:val="Vu"/>
        <w:jc w:val="both"/>
        <w:rPr>
          <w:noProof w:val="0"/>
        </w:rPr>
      </w:pPr>
      <w:r>
        <w:rPr>
          <w:noProof w:val="0"/>
        </w:rPr>
        <w:t>Vu le décret n° 2014-1602 du 23 décembre 2014 portant création de la métropole dénommée « Rennes Métropole »</w:t>
      </w:r>
    </w:p>
    <w:p w:rsidR="00EB6A5F" w:rsidRDefault="00EB6A5F">
      <w:pPr>
        <w:pStyle w:val="Vu"/>
        <w:jc w:val="both"/>
        <w:rPr>
          <w:noProof w:val="0"/>
        </w:rPr>
      </w:pPr>
      <w:r>
        <w:rPr>
          <w:noProof w:val="0"/>
        </w:rPr>
        <w:t>Vu la circulaire 6 A-1-05 n° 100 du 10 juin 2005 (NOR : BUD F 05 20293 J) de la Direction Générale des Impôts ;</w:t>
      </w:r>
    </w:p>
    <w:p w:rsidR="00EB6A5F" w:rsidRDefault="00EB6A5F">
      <w:pPr>
        <w:pStyle w:val="Vu"/>
        <w:jc w:val="both"/>
        <w:rPr>
          <w:noProof w:val="0"/>
        </w:rPr>
      </w:pPr>
      <w:r>
        <w:rPr>
          <w:noProof w:val="0"/>
        </w:rPr>
        <w:t>Vu la délibération n° 00-320 du 29 septembre 2000 instaurant la taxe d’enlèvement des ordures ménagères à compter du 1</w:t>
      </w:r>
      <w:r>
        <w:rPr>
          <w:noProof w:val="0"/>
          <w:vertAlign w:val="superscript"/>
        </w:rPr>
        <w:t>er</w:t>
      </w:r>
      <w:r>
        <w:rPr>
          <w:noProof w:val="0"/>
        </w:rPr>
        <w:t> janvier 2001 et décidant du vote d’un produit de taxe d’enlèvement des ordures ménagères (T.E.O.M.) par commune ;</w:t>
      </w:r>
    </w:p>
    <w:p w:rsidR="00EB6A5F" w:rsidRDefault="00EB6A5F">
      <w:pPr>
        <w:pStyle w:val="Vu"/>
        <w:jc w:val="both"/>
        <w:rPr>
          <w:noProof w:val="0"/>
        </w:rPr>
      </w:pPr>
      <w:r>
        <w:rPr>
          <w:noProof w:val="0"/>
        </w:rPr>
        <w:t>Vu la délibération n° C 04-97 du 18 mars 2004 fixant notamment les modalités de calcul du lissage des taux pour les communes de Bourgbarré et Nouvoitou, adhérentes au 1</w:t>
      </w:r>
      <w:r>
        <w:rPr>
          <w:noProof w:val="0"/>
          <w:vertAlign w:val="superscript"/>
        </w:rPr>
        <w:t>er</w:t>
      </w:r>
      <w:r>
        <w:rPr>
          <w:noProof w:val="0"/>
        </w:rPr>
        <w:t xml:space="preserve"> janvier 2004 ;</w:t>
      </w:r>
    </w:p>
    <w:p w:rsidR="00EB6A5F" w:rsidRDefault="00EB6A5F">
      <w:pPr>
        <w:pStyle w:val="Vu"/>
        <w:jc w:val="both"/>
        <w:rPr>
          <w:noProof w:val="0"/>
        </w:rPr>
      </w:pPr>
      <w:r>
        <w:rPr>
          <w:noProof w:val="0"/>
        </w:rPr>
        <w:t>Vu la délibération n° C 05-032 du 20 janvier 2005 décidant la mise en œuvre du dispositif de lissage par commune des taux de taxe d’enlèvement des ordures ménagères pour une période de 10 ans à compter de 2005 ;</w:t>
      </w:r>
    </w:p>
    <w:p w:rsidR="00EB6A5F" w:rsidRDefault="00EB6A5F">
      <w:pPr>
        <w:pStyle w:val="Vu"/>
        <w:jc w:val="both"/>
        <w:rPr>
          <w:noProof w:val="0"/>
        </w:rPr>
      </w:pPr>
      <w:r>
        <w:rPr>
          <w:noProof w:val="0"/>
        </w:rPr>
        <w:t>Vu la délibération n° C 05-103 du 24 mars 2005 décidant les modalités de lissage et fixation des taux par commune ;</w:t>
      </w:r>
    </w:p>
    <w:p w:rsidR="00EB6A5F" w:rsidRDefault="00EB6A5F">
      <w:pPr>
        <w:pStyle w:val="Vu"/>
        <w:jc w:val="both"/>
        <w:rPr>
          <w:noProof w:val="0"/>
        </w:rPr>
      </w:pPr>
      <w:r>
        <w:rPr>
          <w:noProof w:val="0"/>
        </w:rPr>
        <w:t>Vu la délibération n° C 05-274 du 7 juillet 2005 portant instauration de zones de perception à compter du 1</w:t>
      </w:r>
      <w:r>
        <w:rPr>
          <w:noProof w:val="0"/>
          <w:vertAlign w:val="superscript"/>
        </w:rPr>
        <w:t>er</w:t>
      </w:r>
      <w:r>
        <w:rPr>
          <w:noProof w:val="0"/>
        </w:rPr>
        <w:t xml:space="preserve"> janvier 2006 ;</w:t>
      </w:r>
    </w:p>
    <w:p w:rsidR="00EB6A5F" w:rsidRDefault="00EB6A5F">
      <w:pPr>
        <w:pStyle w:val="Vu"/>
        <w:jc w:val="both"/>
        <w:rPr>
          <w:noProof w:val="0"/>
        </w:rPr>
      </w:pPr>
      <w:r>
        <w:rPr>
          <w:noProof w:val="0"/>
        </w:rPr>
        <w:t>Vu la délibération n° C 07-466 du 22 novembre 2007 portant modification du calcul des taux à compter du 1</w:t>
      </w:r>
      <w:r>
        <w:rPr>
          <w:noProof w:val="0"/>
          <w:vertAlign w:val="superscript"/>
        </w:rPr>
        <w:t>er</w:t>
      </w:r>
      <w:r>
        <w:rPr>
          <w:noProof w:val="0"/>
        </w:rPr>
        <w:t xml:space="preserve"> janvier 2008 pour une meilleure prise en compte des efforts de réduction des déchets et de tri des déchets recyclables au niveau communal ;</w:t>
      </w:r>
    </w:p>
    <w:p w:rsidR="00EB6A5F" w:rsidRDefault="00EB6A5F">
      <w:pPr>
        <w:pStyle w:val="Vu"/>
        <w:jc w:val="both"/>
        <w:rPr>
          <w:noProof w:val="0"/>
        </w:rPr>
      </w:pPr>
      <w:r>
        <w:rPr>
          <w:noProof w:val="0"/>
        </w:rPr>
        <w:t>Vu la délibération n° C 10-170 du 20 mai 2010 portant modification des zones de perception à compter du 1</w:t>
      </w:r>
      <w:r>
        <w:rPr>
          <w:noProof w:val="0"/>
          <w:vertAlign w:val="superscript"/>
        </w:rPr>
        <w:t>er</w:t>
      </w:r>
      <w:r>
        <w:rPr>
          <w:noProof w:val="0"/>
        </w:rPr>
        <w:t xml:space="preserve"> janvier 2011 ;</w:t>
      </w:r>
    </w:p>
    <w:p w:rsidR="00EB6A5F" w:rsidRDefault="00EB6A5F">
      <w:pPr>
        <w:pStyle w:val="Vu"/>
        <w:jc w:val="both"/>
        <w:rPr>
          <w:noProof w:val="0"/>
        </w:rPr>
      </w:pPr>
      <w:r>
        <w:rPr>
          <w:noProof w:val="0"/>
        </w:rPr>
        <w:t>Vu la délibération n° C 10-342 du 23 septembre 2010 portant modification des modalités de calcul des taux de taxe d’enlèvement des ordures ménagères concernant la prise en compte des tonnages verre et des journaux-magazines ;</w:t>
      </w:r>
    </w:p>
    <w:p w:rsidR="00EB6A5F" w:rsidRDefault="00EB6A5F">
      <w:pPr>
        <w:pStyle w:val="Vu"/>
        <w:jc w:val="both"/>
        <w:rPr>
          <w:noProof w:val="0"/>
        </w:rPr>
      </w:pPr>
      <w:r>
        <w:rPr>
          <w:noProof w:val="0"/>
        </w:rPr>
        <w:t>Vu la délibération n° C 12-387 du 20 septembre 2012 portant création d’une nouvelle zone de perception à compter du 1</w:t>
      </w:r>
      <w:r>
        <w:rPr>
          <w:noProof w:val="0"/>
          <w:vertAlign w:val="superscript"/>
        </w:rPr>
        <w:t>er</w:t>
      </w:r>
      <w:r>
        <w:rPr>
          <w:noProof w:val="0"/>
        </w:rPr>
        <w:t> janvier 2013 et adaptations transitoires des modalités techn</w:t>
      </w:r>
      <w:r w:rsidR="006A72EE">
        <w:rPr>
          <w:noProof w:val="0"/>
        </w:rPr>
        <w:t>iques de calcul des taux de TEOM</w:t>
      </w:r>
      <w:r>
        <w:rPr>
          <w:noProof w:val="0"/>
        </w:rPr>
        <w:t xml:space="preserve"> connexes aux extensions de périmètre ;</w:t>
      </w:r>
    </w:p>
    <w:p w:rsidR="00E967B8" w:rsidRDefault="00B41685">
      <w:pPr>
        <w:pStyle w:val="Vu"/>
        <w:jc w:val="both"/>
        <w:rPr>
          <w:noProof w:val="0"/>
        </w:rPr>
      </w:pPr>
      <w:r>
        <w:rPr>
          <w:noProof w:val="0"/>
        </w:rPr>
        <w:t>Vu la délibération n° C 13-364 du 19 septembre 2013 portant création de cinq nouvelles zone de perception à compter du 1</w:t>
      </w:r>
      <w:r>
        <w:rPr>
          <w:noProof w:val="0"/>
          <w:vertAlign w:val="superscript"/>
        </w:rPr>
        <w:t>er</w:t>
      </w:r>
      <w:r>
        <w:rPr>
          <w:noProof w:val="0"/>
        </w:rPr>
        <w:t> janvier 2014 ;</w:t>
      </w:r>
    </w:p>
    <w:p w:rsidR="00EB6A5F" w:rsidRPr="00965F41" w:rsidRDefault="002E39AD">
      <w:pPr>
        <w:pStyle w:val="Vu"/>
        <w:jc w:val="both"/>
        <w:rPr>
          <w:noProof w:val="0"/>
        </w:rPr>
      </w:pPr>
      <w:r w:rsidRPr="002E39AD">
        <w:rPr>
          <w:noProof w:val="0"/>
        </w:rPr>
        <w:t xml:space="preserve">Vu la </w:t>
      </w:r>
      <w:r w:rsidRPr="00BE756A">
        <w:rPr>
          <w:noProof w:val="0"/>
        </w:rPr>
        <w:t>délibération n° C 21.</w:t>
      </w:r>
      <w:r w:rsidR="00BE756A" w:rsidRPr="00BE756A">
        <w:rPr>
          <w:noProof w:val="0"/>
        </w:rPr>
        <w:t>001</w:t>
      </w:r>
      <w:r w:rsidRPr="00BE756A">
        <w:rPr>
          <w:noProof w:val="0"/>
        </w:rPr>
        <w:t xml:space="preserve"> du 28 janvier</w:t>
      </w:r>
      <w:r w:rsidRPr="002E39AD">
        <w:rPr>
          <w:noProof w:val="0"/>
        </w:rPr>
        <w:t xml:space="preserve"> 2021 relative au Rapport d’Orientations Budgétaires pour 2021.</w:t>
      </w:r>
    </w:p>
    <w:p w:rsidR="002E39AD" w:rsidRDefault="002E39AD">
      <w:pPr>
        <w:pStyle w:val="EXPOSE"/>
        <w:jc w:val="center"/>
        <w:rPr>
          <w:u w:val="single"/>
        </w:rPr>
      </w:pPr>
    </w:p>
    <w:p w:rsidR="005E065F" w:rsidRDefault="005E065F">
      <w:pPr>
        <w:pStyle w:val="EXPOSE"/>
        <w:jc w:val="center"/>
        <w:rPr>
          <w:u w:val="single"/>
        </w:rPr>
      </w:pPr>
    </w:p>
    <w:p w:rsidR="00EB6A5F" w:rsidRDefault="00EB6A5F">
      <w:pPr>
        <w:pStyle w:val="EXPOSE"/>
        <w:jc w:val="center"/>
        <w:rPr>
          <w:u w:val="single"/>
        </w:rPr>
      </w:pPr>
      <w:r>
        <w:rPr>
          <w:u w:val="single"/>
        </w:rPr>
        <w:t>EXPOSE</w:t>
      </w:r>
    </w:p>
    <w:p w:rsidR="00EB6A5F" w:rsidRDefault="00EB6A5F">
      <w:pPr>
        <w:pStyle w:val="EXPOSE"/>
        <w:rPr>
          <w:b/>
          <w:bCs/>
        </w:rPr>
      </w:pPr>
    </w:p>
    <w:p w:rsidR="00EB6A5F" w:rsidRDefault="00813FB0">
      <w:pPr>
        <w:pStyle w:val="EXPOSE"/>
      </w:pPr>
      <w:r>
        <w:t>La taxe d'enlèvement des ordures ménagères (TEOM) a été instituée par le Conseil de Rennes Métropole par délibération en date du 29 septembre 2000 pour financer la compétence "élimination et valorisation des déchets" intégralement transférée à Rennes Métropole au 1</w:t>
      </w:r>
      <w:r w:rsidRPr="00813FB0">
        <w:rPr>
          <w:vertAlign w:val="superscript"/>
        </w:rPr>
        <w:t>er</w:t>
      </w:r>
      <w:r>
        <w:t xml:space="preserve"> janvier 2001. Tirant les conséquences des évolutions législatives </w:t>
      </w:r>
      <w:r w:rsidR="00D7386A">
        <w:t xml:space="preserve">introduites par la loi de finances pour 2004 et la loi de finances pour 2005, le Conseil de Rennes Métropole a décidé en 2005 de modifier le dispositif </w:t>
      </w:r>
      <w:r w:rsidR="00F66E1F">
        <w:t xml:space="preserve">initial </w:t>
      </w:r>
      <w:r>
        <w:t>d</w:t>
      </w:r>
      <w:r w:rsidR="00D7386A">
        <w:t>e la TEOM en instaurant différentes zones de perception à compter du 1</w:t>
      </w:r>
      <w:r w:rsidR="00D7386A" w:rsidRPr="00D7386A">
        <w:rPr>
          <w:vertAlign w:val="superscript"/>
        </w:rPr>
        <w:t>er</w:t>
      </w:r>
      <w:r w:rsidR="00187301">
        <w:t xml:space="preserve"> janvier 2006 de manière à tenir compte des différences de coûts de collecte et de traitement entre ces zones. </w:t>
      </w:r>
      <w:r w:rsidR="00634117">
        <w:t xml:space="preserve">Depuis 2006, </w:t>
      </w:r>
      <w:r w:rsidR="00B82065">
        <w:t xml:space="preserve">les taux de TEOM </w:t>
      </w:r>
      <w:r w:rsidR="00634117">
        <w:t xml:space="preserve">votés chaque année ont ainsi été </w:t>
      </w:r>
      <w:r w:rsidR="00B82065">
        <w:t>diff</w:t>
      </w:r>
      <w:r w:rsidR="00E42466">
        <w:t xml:space="preserve">érenciés par zone de perception. Depuis 2014, </w:t>
      </w:r>
      <w:r w:rsidR="001058A8">
        <w:t>il existe quarante-six</w:t>
      </w:r>
      <w:r w:rsidR="00E42466">
        <w:t xml:space="preserve"> zones de </w:t>
      </w:r>
      <w:r w:rsidR="001058A8">
        <w:t>perception : quarante de ces zones sont communales et six sont infra-communales.</w:t>
      </w:r>
    </w:p>
    <w:p w:rsidR="00860FB9" w:rsidRDefault="00860FB9">
      <w:pPr>
        <w:pStyle w:val="EXPOSE"/>
      </w:pPr>
    </w:p>
    <w:p w:rsidR="00A7314F" w:rsidRDefault="00A7314F">
      <w:pPr>
        <w:pStyle w:val="EXPOSE"/>
      </w:pPr>
      <w:r>
        <w:t>Il est proposé de mettre un terme à ce dispositif à compter de 2021 et d'adopter un taux unique de TEOM.</w:t>
      </w:r>
    </w:p>
    <w:p w:rsidR="00A7314F" w:rsidRDefault="00A7314F">
      <w:pPr>
        <w:pStyle w:val="EXPOSE"/>
      </w:pPr>
    </w:p>
    <w:p w:rsidR="00813FB0" w:rsidRDefault="006810E0">
      <w:pPr>
        <w:pStyle w:val="EXPOSE"/>
      </w:pPr>
      <w:r w:rsidRPr="006810E0">
        <w:t>L</w:t>
      </w:r>
      <w:r w:rsidR="009423D5">
        <w:t>a possibilité</w:t>
      </w:r>
      <w:r>
        <w:t xml:space="preserve"> de voter des taux de TEOM différents selon la zone de perception est prévue par </w:t>
      </w:r>
      <w:r w:rsidRPr="006810E0">
        <w:t>l'a</w:t>
      </w:r>
      <w:r w:rsidR="00860FB9" w:rsidRPr="006810E0">
        <w:t>rticle 1636 B undecies</w:t>
      </w:r>
      <w:r w:rsidR="009423D5">
        <w:t xml:space="preserve"> du Code général des impôts. Celui-ci précise que les communes et les EPCI </w:t>
      </w:r>
      <w:r w:rsidR="00860FB9" w:rsidRPr="00860FB9">
        <w:rPr>
          <w:i/>
        </w:rPr>
        <w:t xml:space="preserve">"peuvent définir, </w:t>
      </w:r>
      <w:r w:rsidR="009423D5">
        <w:rPr>
          <w:i/>
        </w:rPr>
        <w:t xml:space="preserve">[…], </w:t>
      </w:r>
      <w:r w:rsidR="00860FB9" w:rsidRPr="00860FB9">
        <w:rPr>
          <w:i/>
        </w:rPr>
        <w:t>des zones de perception de la taxe d'enlèvement des ordures ménagères sur lesquelles ils votent des taux différents en vue de proportionner le montant de la taxe à l'importance du service rendu apprécié en fonction des conditions de réalisation du service et de son coût."</w:t>
      </w:r>
      <w:r w:rsidR="009423D5">
        <w:t xml:space="preserve"> Il s'agit donc d'une faculté laissée l'appréciation des assemblées délibérantes des collectivités compétentes.</w:t>
      </w:r>
    </w:p>
    <w:p w:rsidR="009423D5" w:rsidRDefault="009423D5">
      <w:pPr>
        <w:pStyle w:val="EXPOSE"/>
      </w:pPr>
    </w:p>
    <w:p w:rsidR="009423D5" w:rsidRDefault="009423D5">
      <w:pPr>
        <w:pStyle w:val="EXPOSE"/>
      </w:pPr>
      <w:r>
        <w:t xml:space="preserve">Par ailleurs, l'objectif de Rennes Métropole est de tendre vers un niveau de service équivalent sur l'ensemble du territoire. </w:t>
      </w:r>
      <w:r w:rsidR="00E77944">
        <w:t>L</w:t>
      </w:r>
      <w:r w:rsidR="00A7314F">
        <w:t>e processus d'harmonisation du niveau de service est en cours depuis plusieurs années. En outre, les différences de modalité de collecte ne traduisent pas nécessairement des différences de niveau de service rendu.</w:t>
      </w:r>
    </w:p>
    <w:p w:rsidR="00D720CF" w:rsidRDefault="00D720CF">
      <w:pPr>
        <w:pStyle w:val="EXPOSE"/>
      </w:pPr>
    </w:p>
    <w:p w:rsidR="00D720CF" w:rsidRDefault="00D720CF">
      <w:pPr>
        <w:pStyle w:val="EXPOSE"/>
      </w:pPr>
      <w:r>
        <w:lastRenderedPageBreak/>
        <w:t xml:space="preserve">Enfin, une réflexion est en cours sur l'évolution du mode de financement du service d'élimination et de valorisation des déchets avec pour objectif </w:t>
      </w:r>
      <w:r w:rsidR="00DD2F75">
        <w:t xml:space="preserve">de mettre en place un dispositif plus incitatif en termes de réduction des déchets. </w:t>
      </w:r>
      <w:r w:rsidR="0001311D">
        <w:t>La TEOM incitative (TEOMi) sera notamment étudiée. Or la mise en place de la TEOMi suppose au préalable un taux de TEOM unique sur le territoire de la Métropole.</w:t>
      </w:r>
    </w:p>
    <w:p w:rsidR="0001311D" w:rsidRDefault="0001311D">
      <w:pPr>
        <w:pStyle w:val="EXPOSE"/>
      </w:pPr>
    </w:p>
    <w:p w:rsidR="0001311D" w:rsidRDefault="00C700BC">
      <w:pPr>
        <w:pStyle w:val="EXPOSE"/>
      </w:pPr>
      <w:r>
        <w:t>Il est donc proposé d'adopter un taux unique de TEOM à partir de 2021. Le taux moyen pondéré résultant des bases d'imposition et des différents taux appliqués en 2020 dans les 46 zones de perception de la Métropole étant de 5,70%, il est proposé de retenir la valeur de ce taux moyen pour déterminer le taux unique applicable en 2021.</w:t>
      </w:r>
    </w:p>
    <w:p w:rsidR="00C700BC" w:rsidRDefault="00C700BC">
      <w:pPr>
        <w:pStyle w:val="EXPOSE"/>
      </w:pPr>
    </w:p>
    <w:p w:rsidR="00D8002A" w:rsidRDefault="00D8002A">
      <w:pPr>
        <w:pStyle w:val="EXPOSE"/>
      </w:pPr>
    </w:p>
    <w:p w:rsidR="0091787B" w:rsidRPr="00161959" w:rsidRDefault="00AA7EE4">
      <w:pPr>
        <w:pStyle w:val="EXPOSE"/>
      </w:pPr>
      <w:r>
        <w:t>L</w:t>
      </w:r>
      <w:r w:rsidR="00161959">
        <w:t>'article 1639 A bis</w:t>
      </w:r>
      <w:r>
        <w:t xml:space="preserve"> du Code général des impôts prévoyant que la suppression formelle des zones de perception de la TEOM doit faire l'objet d'une décision prise avant le 15 octobre de l'année </w:t>
      </w:r>
      <w:r w:rsidRPr="00AA7EE4">
        <w:rPr>
          <w:i/>
        </w:rPr>
        <w:t>n</w:t>
      </w:r>
      <w:r>
        <w:t xml:space="preserve"> pour être applicable en année </w:t>
      </w:r>
      <w:r w:rsidRPr="00AA7EE4">
        <w:rPr>
          <w:i/>
        </w:rPr>
        <w:t>n+1</w:t>
      </w:r>
      <w:r w:rsidR="00161959">
        <w:t>, il sera proposé au Conseil de Rennes Métropole, avant le 15 octobre 2021, de supprimer les 46 zones de perceptions de la TEOM à compter de 2022. Afin d'appliquer un taux unique de TEOM dès 2021, il est donc proposé de procéder au vote de 46 taux de TEOM identiques.</w:t>
      </w:r>
    </w:p>
    <w:p w:rsidR="0091787B" w:rsidRDefault="0091787B">
      <w:pPr>
        <w:pStyle w:val="EXPOSE"/>
      </w:pPr>
    </w:p>
    <w:p w:rsidR="0091787B" w:rsidRDefault="0091787B">
      <w:pPr>
        <w:pStyle w:val="EXPOSE"/>
      </w:pPr>
    </w:p>
    <w:p w:rsidR="00EB6A5F" w:rsidRDefault="00EB6A5F">
      <w:pPr>
        <w:pStyle w:val="EXPOSE"/>
      </w:pPr>
      <w:r>
        <w:t xml:space="preserve">Après avis </w:t>
      </w:r>
      <w:r w:rsidR="00836D9C">
        <w:t xml:space="preserve">favorable </w:t>
      </w:r>
      <w:r>
        <w:t>du Bureau</w:t>
      </w:r>
      <w:r w:rsidR="00836D9C">
        <w:t xml:space="preserve"> du 18 février</w:t>
      </w:r>
      <w:r>
        <w:t xml:space="preserve">, le Conseil </w:t>
      </w:r>
      <w:r w:rsidR="00836D9C">
        <w:t>est</w:t>
      </w:r>
      <w:r>
        <w:t xml:space="preserve"> invité à :</w:t>
      </w:r>
    </w:p>
    <w:p w:rsidR="00EB6A5F" w:rsidRPr="0015238F" w:rsidRDefault="00EB6A5F">
      <w:pPr>
        <w:pStyle w:val="EXPOSE"/>
      </w:pPr>
    </w:p>
    <w:p w:rsidR="00A262FD" w:rsidRDefault="00161959" w:rsidP="005E065F">
      <w:pPr>
        <w:pStyle w:val="EXPOSE"/>
        <w:numPr>
          <w:ilvl w:val="0"/>
          <w:numId w:val="12"/>
        </w:numPr>
        <w:ind w:left="426"/>
      </w:pPr>
      <w:r>
        <w:t>décider d'adopter le principe d'un taux unique de taxe d'enlèvement des ordures ménagères sur l'ensemble du territoire de Rennes Métropole dès à partir de 2021</w:t>
      </w:r>
      <w:r w:rsidR="00A262FD">
        <w:t xml:space="preserve"> ;</w:t>
      </w:r>
    </w:p>
    <w:p w:rsidR="00161959" w:rsidRDefault="00161959" w:rsidP="005E065F">
      <w:pPr>
        <w:pStyle w:val="EXPOSE"/>
        <w:numPr>
          <w:ilvl w:val="0"/>
          <w:numId w:val="12"/>
        </w:numPr>
        <w:ind w:left="426"/>
      </w:pPr>
      <w:r>
        <w:t>décider, pour 2021, de fixer le taux unique de la taxe d'enlèvement des ordures ménagères à 5,70</w:t>
      </w:r>
      <w:r w:rsidR="005E065F">
        <w:t xml:space="preserve"> </w:t>
      </w:r>
      <w:r>
        <w:t>% ;</w:t>
      </w:r>
    </w:p>
    <w:p w:rsidR="000038BC" w:rsidRDefault="000038BC" w:rsidP="005E065F">
      <w:pPr>
        <w:pStyle w:val="EXPOSE"/>
        <w:numPr>
          <w:ilvl w:val="0"/>
          <w:numId w:val="12"/>
        </w:numPr>
        <w:ind w:left="426"/>
      </w:pPr>
      <w:r>
        <w:t xml:space="preserve">décider </w:t>
      </w:r>
      <w:r w:rsidR="00A262FD">
        <w:t>en conséquence</w:t>
      </w:r>
      <w:r w:rsidR="0040728B">
        <w:t>, pour 2021,</w:t>
      </w:r>
      <w:r w:rsidR="00A262FD">
        <w:t xml:space="preserve"> de fixer </w:t>
      </w:r>
      <w:r w:rsidR="00A262FD" w:rsidRPr="00A262FD">
        <w:t>les taux d’imposition de la taxe d’enlèvement</w:t>
      </w:r>
      <w:r w:rsidR="0040728B">
        <w:t xml:space="preserve"> des ordures ménagères</w:t>
      </w:r>
      <w:r w:rsidR="00CE3C67">
        <w:t xml:space="preserve"> </w:t>
      </w:r>
      <w:r w:rsidR="00A262FD" w:rsidRPr="00A262FD">
        <w:t>par zone de perception comme suit :</w:t>
      </w:r>
    </w:p>
    <w:p w:rsidR="009F2EEB" w:rsidRDefault="009F2EEB" w:rsidP="009F2EEB">
      <w:pPr>
        <w:pStyle w:val="EXPOSE"/>
        <w:numPr>
          <w:ilvl w:val="1"/>
          <w:numId w:val="5"/>
        </w:numPr>
      </w:pPr>
      <w:r>
        <w:t xml:space="preserve"> Ac</w:t>
      </w:r>
      <w:r w:rsidR="0040728B">
        <w:t>igné : 5,70</w:t>
      </w:r>
      <w:r>
        <w:t>%</w:t>
      </w:r>
    </w:p>
    <w:p w:rsidR="009F2EEB" w:rsidRPr="005A1AB7" w:rsidRDefault="009F2EEB" w:rsidP="0040728B">
      <w:pPr>
        <w:pStyle w:val="EXPOSE"/>
        <w:numPr>
          <w:ilvl w:val="1"/>
          <w:numId w:val="5"/>
        </w:numPr>
      </w:pPr>
      <w:r>
        <w:t xml:space="preserve"> </w:t>
      </w:r>
      <w:r w:rsidRPr="005A1AB7">
        <w:t xml:space="preserve">Bécherel : </w:t>
      </w:r>
      <w:r w:rsidR="0040728B" w:rsidRPr="0040728B">
        <w:t>5,70%</w:t>
      </w:r>
    </w:p>
    <w:p w:rsidR="009F2EEB" w:rsidRDefault="009F2EEB" w:rsidP="0040728B">
      <w:pPr>
        <w:pStyle w:val="EXPOSE"/>
        <w:numPr>
          <w:ilvl w:val="1"/>
          <w:numId w:val="5"/>
        </w:numPr>
      </w:pPr>
      <w:r>
        <w:t xml:space="preserve"> Betton : </w:t>
      </w:r>
      <w:r w:rsidR="0040728B" w:rsidRPr="0040728B">
        <w:t>5,70%</w:t>
      </w:r>
    </w:p>
    <w:p w:rsidR="009F2EEB" w:rsidRDefault="009F2EEB" w:rsidP="0040728B">
      <w:pPr>
        <w:pStyle w:val="EXPOSE"/>
        <w:numPr>
          <w:ilvl w:val="1"/>
          <w:numId w:val="5"/>
        </w:numPr>
      </w:pPr>
      <w:r>
        <w:t xml:space="preserve"> Bourgbarré : </w:t>
      </w:r>
      <w:r w:rsidR="0040728B">
        <w:t>5,70</w:t>
      </w:r>
      <w:r>
        <w:t>%</w:t>
      </w:r>
    </w:p>
    <w:p w:rsidR="009F2EEB" w:rsidRDefault="009F2EEB" w:rsidP="0040728B">
      <w:pPr>
        <w:pStyle w:val="EXPOSE"/>
        <w:numPr>
          <w:ilvl w:val="1"/>
          <w:numId w:val="5"/>
        </w:numPr>
      </w:pPr>
      <w:r>
        <w:t xml:space="preserve"> Brécé : </w:t>
      </w:r>
      <w:r w:rsidR="0040728B" w:rsidRPr="0040728B">
        <w:t>5,70%</w:t>
      </w:r>
    </w:p>
    <w:p w:rsidR="009F2EEB" w:rsidRDefault="009F2EEB" w:rsidP="0040728B">
      <w:pPr>
        <w:pStyle w:val="EXPOSE"/>
        <w:numPr>
          <w:ilvl w:val="1"/>
          <w:numId w:val="5"/>
        </w:numPr>
      </w:pPr>
      <w:r>
        <w:t xml:space="preserve"> Bruz : </w:t>
      </w:r>
      <w:r w:rsidR="0040728B" w:rsidRPr="0040728B">
        <w:t>5,70%</w:t>
      </w:r>
    </w:p>
    <w:p w:rsidR="009F2EEB" w:rsidRDefault="009F2EEB" w:rsidP="0040728B">
      <w:pPr>
        <w:pStyle w:val="EXPOSE"/>
        <w:numPr>
          <w:ilvl w:val="1"/>
          <w:numId w:val="5"/>
        </w:numPr>
      </w:pPr>
      <w:r>
        <w:t xml:space="preserve"> Cesson-Sévigné (Est boulevard des Alliés) : </w:t>
      </w:r>
      <w:r w:rsidR="0040728B" w:rsidRPr="0040728B">
        <w:t>5,70%</w:t>
      </w:r>
    </w:p>
    <w:p w:rsidR="009F2EEB" w:rsidRDefault="009F2EEB" w:rsidP="0040728B">
      <w:pPr>
        <w:pStyle w:val="EXPOSE"/>
        <w:numPr>
          <w:ilvl w:val="1"/>
          <w:numId w:val="5"/>
        </w:numPr>
      </w:pPr>
      <w:r>
        <w:t xml:space="preserve"> Chantepie : </w:t>
      </w:r>
      <w:r w:rsidR="0040728B" w:rsidRPr="0040728B">
        <w:t>5,70%</w:t>
      </w:r>
    </w:p>
    <w:p w:rsidR="009F2EEB" w:rsidRPr="005A1AB7" w:rsidRDefault="009F2EEB" w:rsidP="0040728B">
      <w:pPr>
        <w:pStyle w:val="EXPOSE"/>
        <w:numPr>
          <w:ilvl w:val="1"/>
          <w:numId w:val="5"/>
        </w:numPr>
      </w:pPr>
      <w:r w:rsidRPr="005A1AB7">
        <w:t xml:space="preserve"> La Chapelle-Chaussée :</w:t>
      </w:r>
      <w:r>
        <w:t xml:space="preserve"> </w:t>
      </w:r>
      <w:r w:rsidR="0040728B" w:rsidRPr="0040728B">
        <w:t>5,70%</w:t>
      </w:r>
    </w:p>
    <w:p w:rsidR="009F2EEB" w:rsidRDefault="009F2EEB" w:rsidP="0040728B">
      <w:pPr>
        <w:pStyle w:val="EXPOSE"/>
        <w:numPr>
          <w:ilvl w:val="1"/>
          <w:numId w:val="5"/>
        </w:numPr>
      </w:pPr>
      <w:r>
        <w:t xml:space="preserve"> La Chapelle-des-Fougeretz : </w:t>
      </w:r>
      <w:r w:rsidR="0040728B" w:rsidRPr="0040728B">
        <w:t>5,70%</w:t>
      </w:r>
    </w:p>
    <w:p w:rsidR="009F2EEB" w:rsidRDefault="009F2EEB" w:rsidP="0040728B">
      <w:pPr>
        <w:pStyle w:val="EXPOSE"/>
        <w:numPr>
          <w:ilvl w:val="1"/>
          <w:numId w:val="5"/>
        </w:numPr>
      </w:pPr>
      <w:r>
        <w:t xml:space="preserve"> La Chapelle-Thouarault : </w:t>
      </w:r>
      <w:r w:rsidR="0040728B" w:rsidRPr="0040728B">
        <w:t>5,70%</w:t>
      </w:r>
    </w:p>
    <w:p w:rsidR="009F2EEB" w:rsidRDefault="009F2EEB" w:rsidP="0040728B">
      <w:pPr>
        <w:pStyle w:val="EXPOSE"/>
        <w:numPr>
          <w:ilvl w:val="1"/>
          <w:numId w:val="5"/>
        </w:numPr>
      </w:pPr>
      <w:r>
        <w:t xml:space="preserve"> Chartres-de-Bretagne : </w:t>
      </w:r>
      <w:r w:rsidR="0040728B" w:rsidRPr="0040728B">
        <w:t>5,70%</w:t>
      </w:r>
    </w:p>
    <w:p w:rsidR="009F2EEB" w:rsidRDefault="009F2EEB" w:rsidP="0040728B">
      <w:pPr>
        <w:pStyle w:val="EXPOSE"/>
        <w:numPr>
          <w:ilvl w:val="1"/>
          <w:numId w:val="5"/>
        </w:numPr>
      </w:pPr>
      <w:r>
        <w:t xml:space="preserve"> Chavagne : </w:t>
      </w:r>
      <w:r w:rsidR="0040728B" w:rsidRPr="0040728B">
        <w:t>5,70%</w:t>
      </w:r>
    </w:p>
    <w:p w:rsidR="009F2EEB" w:rsidRDefault="009F2EEB" w:rsidP="0040728B">
      <w:pPr>
        <w:pStyle w:val="EXPOSE"/>
        <w:numPr>
          <w:ilvl w:val="1"/>
          <w:numId w:val="5"/>
        </w:numPr>
      </w:pPr>
      <w:r>
        <w:t xml:space="preserve"> Chevaigné : </w:t>
      </w:r>
      <w:r w:rsidR="0040728B" w:rsidRPr="0040728B">
        <w:t>5,70%</w:t>
      </w:r>
    </w:p>
    <w:p w:rsidR="009F2EEB" w:rsidRDefault="009F2EEB" w:rsidP="0040728B">
      <w:pPr>
        <w:pStyle w:val="EXPOSE"/>
        <w:numPr>
          <w:ilvl w:val="1"/>
          <w:numId w:val="5"/>
        </w:numPr>
      </w:pPr>
      <w:r>
        <w:t xml:space="preserve"> Cintré : </w:t>
      </w:r>
      <w:r w:rsidR="0040728B" w:rsidRPr="0040728B">
        <w:t>5,70%</w:t>
      </w:r>
    </w:p>
    <w:p w:rsidR="009F2EEB" w:rsidRDefault="009F2EEB" w:rsidP="0040728B">
      <w:pPr>
        <w:pStyle w:val="EXPOSE"/>
        <w:numPr>
          <w:ilvl w:val="1"/>
          <w:numId w:val="5"/>
        </w:numPr>
      </w:pPr>
      <w:r>
        <w:t xml:space="preserve"> Clayes : </w:t>
      </w:r>
      <w:r w:rsidR="0040728B" w:rsidRPr="0040728B">
        <w:t>5,70%</w:t>
      </w:r>
    </w:p>
    <w:p w:rsidR="009F2EEB" w:rsidRDefault="009F2EEB" w:rsidP="0040728B">
      <w:pPr>
        <w:pStyle w:val="EXPOSE"/>
        <w:numPr>
          <w:ilvl w:val="1"/>
          <w:numId w:val="5"/>
        </w:numPr>
      </w:pPr>
      <w:r>
        <w:t xml:space="preserve"> Corps-Nuds : </w:t>
      </w:r>
      <w:r w:rsidR="0040728B">
        <w:t>5,70</w:t>
      </w:r>
      <w:r>
        <w:t>%</w:t>
      </w:r>
    </w:p>
    <w:p w:rsidR="009F2EEB" w:rsidRDefault="009F2EEB" w:rsidP="0040728B">
      <w:pPr>
        <w:pStyle w:val="EXPOSE"/>
        <w:numPr>
          <w:ilvl w:val="1"/>
          <w:numId w:val="5"/>
        </w:numPr>
      </w:pPr>
      <w:r>
        <w:t xml:space="preserve"> Gévezé : </w:t>
      </w:r>
      <w:r w:rsidR="0040728B" w:rsidRPr="0040728B">
        <w:t>5,70%</w:t>
      </w:r>
    </w:p>
    <w:p w:rsidR="009F2EEB" w:rsidRDefault="009F2EEB" w:rsidP="0040728B">
      <w:pPr>
        <w:pStyle w:val="EXPOSE"/>
        <w:numPr>
          <w:ilvl w:val="1"/>
          <w:numId w:val="5"/>
        </w:numPr>
      </w:pPr>
      <w:r>
        <w:t xml:space="preserve"> L’Hermitage : </w:t>
      </w:r>
      <w:r w:rsidR="0040728B" w:rsidRPr="0040728B">
        <w:t>5,70%</w:t>
      </w:r>
    </w:p>
    <w:p w:rsidR="009F2EEB" w:rsidRDefault="009F2EEB" w:rsidP="0040728B">
      <w:pPr>
        <w:pStyle w:val="EXPOSE"/>
        <w:numPr>
          <w:ilvl w:val="1"/>
          <w:numId w:val="5"/>
        </w:numPr>
      </w:pPr>
      <w:r>
        <w:t xml:space="preserve"> Laillé : </w:t>
      </w:r>
      <w:r w:rsidR="0040728B" w:rsidRPr="0040728B">
        <w:t>5,70%</w:t>
      </w:r>
    </w:p>
    <w:p w:rsidR="009F2EEB" w:rsidRPr="005A1AB7" w:rsidRDefault="009F2EEB" w:rsidP="0040728B">
      <w:pPr>
        <w:pStyle w:val="EXPOSE"/>
        <w:numPr>
          <w:ilvl w:val="1"/>
          <w:numId w:val="5"/>
        </w:numPr>
      </w:pPr>
      <w:r w:rsidRPr="005A1AB7">
        <w:t xml:space="preserve"> Langan : </w:t>
      </w:r>
      <w:r w:rsidR="0040728B" w:rsidRPr="0040728B">
        <w:t>5,70%</w:t>
      </w:r>
    </w:p>
    <w:p w:rsidR="009F2EEB" w:rsidRPr="005A1AB7" w:rsidRDefault="009F2EEB" w:rsidP="0040728B">
      <w:pPr>
        <w:pStyle w:val="EXPOSE"/>
        <w:numPr>
          <w:ilvl w:val="1"/>
          <w:numId w:val="5"/>
        </w:numPr>
      </w:pPr>
      <w:r w:rsidRPr="005A1AB7">
        <w:t xml:space="preserve"> Miniac-sous-Bécherel :</w:t>
      </w:r>
      <w:r>
        <w:t xml:space="preserve"> </w:t>
      </w:r>
      <w:r w:rsidR="0040728B" w:rsidRPr="0040728B">
        <w:t>5,70%</w:t>
      </w:r>
    </w:p>
    <w:p w:rsidR="009F2EEB" w:rsidRDefault="009F2EEB" w:rsidP="0040728B">
      <w:pPr>
        <w:pStyle w:val="EXPOSE"/>
        <w:numPr>
          <w:ilvl w:val="1"/>
          <w:numId w:val="5"/>
        </w:numPr>
      </w:pPr>
      <w:r>
        <w:t xml:space="preserve"> Montgermont : </w:t>
      </w:r>
      <w:r w:rsidR="0040728B" w:rsidRPr="0040728B">
        <w:t>5,70%</w:t>
      </w:r>
    </w:p>
    <w:p w:rsidR="0040728B" w:rsidRDefault="009F2EEB" w:rsidP="0040728B">
      <w:pPr>
        <w:pStyle w:val="EXPOSE"/>
        <w:numPr>
          <w:ilvl w:val="1"/>
          <w:numId w:val="5"/>
        </w:numPr>
      </w:pPr>
      <w:r>
        <w:t xml:space="preserve"> Mordelles : </w:t>
      </w:r>
      <w:r w:rsidR="0040728B" w:rsidRPr="0040728B">
        <w:t>5,70%</w:t>
      </w:r>
    </w:p>
    <w:p w:rsidR="009F2EEB" w:rsidRDefault="009F2EEB" w:rsidP="0040728B">
      <w:pPr>
        <w:pStyle w:val="EXPOSE"/>
        <w:numPr>
          <w:ilvl w:val="1"/>
          <w:numId w:val="5"/>
        </w:numPr>
      </w:pPr>
      <w:r>
        <w:t xml:space="preserve"> Nouvoitou : </w:t>
      </w:r>
      <w:r w:rsidR="0040728B" w:rsidRPr="0040728B">
        <w:t>5,70%</w:t>
      </w:r>
    </w:p>
    <w:p w:rsidR="009F2EEB" w:rsidRDefault="009F2EEB" w:rsidP="0040728B">
      <w:pPr>
        <w:pStyle w:val="EXPOSE"/>
        <w:numPr>
          <w:ilvl w:val="1"/>
          <w:numId w:val="5"/>
        </w:numPr>
      </w:pPr>
      <w:r>
        <w:t xml:space="preserve"> Noyal-Châtillon-sur-Seiche : </w:t>
      </w:r>
      <w:r w:rsidR="0040728B" w:rsidRPr="0040728B">
        <w:t>5,70%</w:t>
      </w:r>
    </w:p>
    <w:p w:rsidR="009F2EEB" w:rsidRDefault="009F2EEB" w:rsidP="0040728B">
      <w:pPr>
        <w:pStyle w:val="EXPOSE"/>
        <w:numPr>
          <w:ilvl w:val="1"/>
          <w:numId w:val="5"/>
        </w:numPr>
      </w:pPr>
      <w:r>
        <w:lastRenderedPageBreak/>
        <w:t xml:space="preserve"> Orgères : </w:t>
      </w:r>
      <w:r w:rsidR="0040728B" w:rsidRPr="0040728B">
        <w:t>5,70%</w:t>
      </w:r>
    </w:p>
    <w:p w:rsidR="009F2EEB" w:rsidRDefault="009F2EEB" w:rsidP="0040728B">
      <w:pPr>
        <w:pStyle w:val="EXPOSE"/>
        <w:numPr>
          <w:ilvl w:val="1"/>
          <w:numId w:val="5"/>
        </w:numPr>
      </w:pPr>
      <w:r>
        <w:t xml:space="preserve"> Pacé : </w:t>
      </w:r>
      <w:r w:rsidR="0040728B" w:rsidRPr="0040728B">
        <w:t>5,70%</w:t>
      </w:r>
    </w:p>
    <w:p w:rsidR="009F2EEB" w:rsidRDefault="009F2EEB" w:rsidP="0040728B">
      <w:pPr>
        <w:pStyle w:val="EXPOSE"/>
        <w:numPr>
          <w:ilvl w:val="1"/>
          <w:numId w:val="5"/>
        </w:numPr>
      </w:pPr>
      <w:r>
        <w:t xml:space="preserve"> Parthenay-de-Bretagne :</w:t>
      </w:r>
      <w:r w:rsidR="0040728B" w:rsidRPr="0040728B">
        <w:t xml:space="preserve"> 5,70%</w:t>
      </w:r>
    </w:p>
    <w:p w:rsidR="009F2EEB" w:rsidRDefault="009F2EEB" w:rsidP="0040728B">
      <w:pPr>
        <w:pStyle w:val="EXPOSE"/>
        <w:numPr>
          <w:ilvl w:val="1"/>
          <w:numId w:val="5"/>
        </w:numPr>
      </w:pPr>
      <w:r>
        <w:t xml:space="preserve"> Pont-Péan : </w:t>
      </w:r>
      <w:r w:rsidR="0040728B" w:rsidRPr="0040728B">
        <w:t>5,70%</w:t>
      </w:r>
    </w:p>
    <w:p w:rsidR="009F2EEB" w:rsidRDefault="009F2EEB" w:rsidP="0040728B">
      <w:pPr>
        <w:pStyle w:val="EXPOSE"/>
        <w:numPr>
          <w:ilvl w:val="1"/>
          <w:numId w:val="5"/>
        </w:numPr>
      </w:pPr>
      <w:r>
        <w:t xml:space="preserve"> Le Rheu : </w:t>
      </w:r>
      <w:r w:rsidR="0040728B" w:rsidRPr="0040728B">
        <w:t>5,70%</w:t>
      </w:r>
    </w:p>
    <w:p w:rsidR="009F2EEB" w:rsidRPr="005A1AB7" w:rsidRDefault="009F2EEB" w:rsidP="0040728B">
      <w:pPr>
        <w:pStyle w:val="EXPOSE"/>
        <w:numPr>
          <w:ilvl w:val="1"/>
          <w:numId w:val="5"/>
        </w:numPr>
      </w:pPr>
      <w:r w:rsidRPr="005A1AB7">
        <w:t xml:space="preserve"> Romillé :</w:t>
      </w:r>
      <w:r>
        <w:t xml:space="preserve"> </w:t>
      </w:r>
      <w:r w:rsidR="0040728B" w:rsidRPr="0040728B">
        <w:t>5,70%</w:t>
      </w:r>
    </w:p>
    <w:p w:rsidR="0040728B" w:rsidRDefault="009F2EEB" w:rsidP="0040728B">
      <w:pPr>
        <w:pStyle w:val="EXPOSE"/>
        <w:numPr>
          <w:ilvl w:val="1"/>
          <w:numId w:val="5"/>
        </w:numPr>
      </w:pPr>
      <w:r>
        <w:t xml:space="preserve"> Saint -Armel : </w:t>
      </w:r>
      <w:r w:rsidR="0040728B" w:rsidRPr="0040728B">
        <w:t>5,70%</w:t>
      </w:r>
    </w:p>
    <w:p w:rsidR="009F2EEB" w:rsidRDefault="009F2EEB" w:rsidP="0040728B">
      <w:pPr>
        <w:pStyle w:val="EXPOSE"/>
        <w:numPr>
          <w:ilvl w:val="1"/>
          <w:numId w:val="5"/>
        </w:numPr>
      </w:pPr>
      <w:r>
        <w:t xml:space="preserve"> Saint-Erblon : </w:t>
      </w:r>
      <w:r w:rsidR="0040728B" w:rsidRPr="0040728B">
        <w:t>5,70%</w:t>
      </w:r>
    </w:p>
    <w:p w:rsidR="009F2EEB" w:rsidRDefault="009F2EEB" w:rsidP="0040728B">
      <w:pPr>
        <w:pStyle w:val="EXPOSE"/>
        <w:numPr>
          <w:ilvl w:val="1"/>
          <w:numId w:val="5"/>
        </w:numPr>
      </w:pPr>
      <w:r>
        <w:t xml:space="preserve"> Saint-Gilles : </w:t>
      </w:r>
      <w:r w:rsidR="0040728B" w:rsidRPr="0040728B">
        <w:t>5,70%</w:t>
      </w:r>
    </w:p>
    <w:p w:rsidR="009F2EEB" w:rsidRDefault="009F2EEB" w:rsidP="0040728B">
      <w:pPr>
        <w:pStyle w:val="EXPOSE"/>
        <w:numPr>
          <w:ilvl w:val="1"/>
          <w:numId w:val="5"/>
        </w:numPr>
      </w:pPr>
      <w:r>
        <w:t xml:space="preserve"> Saint-Grégoire (extra rocade) : </w:t>
      </w:r>
      <w:r w:rsidR="0040728B" w:rsidRPr="0040728B">
        <w:t>5,70%</w:t>
      </w:r>
    </w:p>
    <w:p w:rsidR="009F2EEB" w:rsidRDefault="009F2EEB" w:rsidP="0040728B">
      <w:pPr>
        <w:pStyle w:val="EXPOSE"/>
        <w:numPr>
          <w:ilvl w:val="1"/>
          <w:numId w:val="5"/>
        </w:numPr>
      </w:pPr>
      <w:r>
        <w:t xml:space="preserve"> Saint-Jacques de la Lande (extra rocade</w:t>
      </w:r>
      <w:r w:rsidR="0040728B">
        <w:t xml:space="preserve">) : </w:t>
      </w:r>
      <w:r w:rsidR="0040728B" w:rsidRPr="0040728B">
        <w:t>5,70%</w:t>
      </w:r>
    </w:p>
    <w:p w:rsidR="009F2EEB" w:rsidRDefault="009F2EEB" w:rsidP="0040728B">
      <w:pPr>
        <w:pStyle w:val="EXPOSE"/>
        <w:numPr>
          <w:ilvl w:val="1"/>
          <w:numId w:val="5"/>
        </w:numPr>
      </w:pPr>
      <w:r>
        <w:t xml:space="preserve"> Saint Sulpice la Forêt : </w:t>
      </w:r>
      <w:r w:rsidR="0040728B" w:rsidRPr="0040728B">
        <w:t>5,70%</w:t>
      </w:r>
    </w:p>
    <w:p w:rsidR="009F2EEB" w:rsidRDefault="009F2EEB" w:rsidP="0040728B">
      <w:pPr>
        <w:pStyle w:val="EXPOSE"/>
        <w:numPr>
          <w:ilvl w:val="1"/>
          <w:numId w:val="5"/>
        </w:numPr>
      </w:pPr>
      <w:r>
        <w:t xml:space="preserve"> Thorigné-Fouillard : </w:t>
      </w:r>
      <w:r w:rsidR="0040728B" w:rsidRPr="0040728B">
        <w:t>5,70%</w:t>
      </w:r>
    </w:p>
    <w:p w:rsidR="009F2EEB" w:rsidRDefault="009F2EEB" w:rsidP="0040728B">
      <w:pPr>
        <w:pStyle w:val="EXPOSE"/>
        <w:numPr>
          <w:ilvl w:val="1"/>
          <w:numId w:val="5"/>
        </w:numPr>
      </w:pPr>
      <w:r>
        <w:t xml:space="preserve"> Le Verger : </w:t>
      </w:r>
      <w:r w:rsidR="0040728B" w:rsidRPr="0040728B">
        <w:t>5,70%</w:t>
      </w:r>
    </w:p>
    <w:p w:rsidR="009F2EEB" w:rsidRPr="003A5C82" w:rsidRDefault="009F2EEB" w:rsidP="0040728B">
      <w:pPr>
        <w:pStyle w:val="EXPOSE"/>
        <w:numPr>
          <w:ilvl w:val="1"/>
          <w:numId w:val="5"/>
        </w:numPr>
      </w:pPr>
      <w:r w:rsidRPr="003A5C82">
        <w:t xml:space="preserve"> Vern-sur-Seiche : </w:t>
      </w:r>
      <w:r w:rsidR="0040728B" w:rsidRPr="0040728B">
        <w:t>5,70%</w:t>
      </w:r>
    </w:p>
    <w:p w:rsidR="009F2EEB" w:rsidRDefault="009F2EEB" w:rsidP="0040728B">
      <w:pPr>
        <w:pStyle w:val="EXPOSE"/>
        <w:numPr>
          <w:ilvl w:val="1"/>
          <w:numId w:val="5"/>
        </w:numPr>
      </w:pPr>
      <w:r>
        <w:t xml:space="preserve"> Vezin-le-Coquet : </w:t>
      </w:r>
      <w:r w:rsidR="0040728B" w:rsidRPr="0040728B">
        <w:t>5,70%</w:t>
      </w:r>
    </w:p>
    <w:p w:rsidR="009F2EEB" w:rsidRDefault="009F2EEB" w:rsidP="0040728B">
      <w:pPr>
        <w:pStyle w:val="EXPOSE"/>
        <w:numPr>
          <w:ilvl w:val="1"/>
          <w:numId w:val="5"/>
        </w:numPr>
      </w:pPr>
      <w:r>
        <w:t xml:space="preserve"> Cesson-Sévigné (Ouest boulevard des Alliés) : </w:t>
      </w:r>
      <w:r w:rsidR="0040728B" w:rsidRPr="0040728B">
        <w:t>5,70%</w:t>
      </w:r>
    </w:p>
    <w:p w:rsidR="009F2EEB" w:rsidRDefault="009F2EEB" w:rsidP="0040728B">
      <w:pPr>
        <w:pStyle w:val="EXPOSE"/>
        <w:numPr>
          <w:ilvl w:val="1"/>
          <w:numId w:val="5"/>
        </w:numPr>
      </w:pPr>
      <w:r>
        <w:t xml:space="preserve"> Rennes : </w:t>
      </w:r>
      <w:r w:rsidR="0040728B" w:rsidRPr="0040728B">
        <w:t>5,70%</w:t>
      </w:r>
    </w:p>
    <w:p w:rsidR="009F2EEB" w:rsidRDefault="009F2EEB" w:rsidP="0040728B">
      <w:pPr>
        <w:pStyle w:val="EXPOSE"/>
        <w:numPr>
          <w:ilvl w:val="1"/>
          <w:numId w:val="5"/>
        </w:numPr>
      </w:pPr>
      <w:r>
        <w:t xml:space="preserve"> Saint-Grégoire (intra rocade) : </w:t>
      </w:r>
      <w:r w:rsidR="0040728B" w:rsidRPr="0040728B">
        <w:t>5,70%</w:t>
      </w:r>
    </w:p>
    <w:p w:rsidR="009F2EEB" w:rsidRDefault="009F2EEB" w:rsidP="0040728B">
      <w:pPr>
        <w:pStyle w:val="EXPOSE"/>
        <w:numPr>
          <w:ilvl w:val="1"/>
          <w:numId w:val="5"/>
        </w:numPr>
      </w:pPr>
      <w:r>
        <w:t xml:space="preserve"> Saint-Jacques de la Lande (intra rocade) : </w:t>
      </w:r>
      <w:r w:rsidR="0040728B" w:rsidRPr="0040728B">
        <w:t>5,70%</w:t>
      </w:r>
    </w:p>
    <w:p w:rsidR="009F2EEB" w:rsidRDefault="009F2EEB" w:rsidP="009F2EEB">
      <w:pPr>
        <w:pStyle w:val="EXPOSE"/>
        <w:ind w:left="1440"/>
      </w:pPr>
    </w:p>
    <w:p w:rsidR="006521E2" w:rsidRDefault="006521E2">
      <w:pPr>
        <w:pStyle w:val="EXPOSE"/>
        <w:rPr>
          <w:b/>
          <w:bCs/>
          <w:u w:val="single"/>
        </w:rPr>
      </w:pPr>
    </w:p>
    <w:p w:rsidR="00136023" w:rsidRPr="009F3AD4" w:rsidRDefault="00136023" w:rsidP="00136023">
      <w:pPr>
        <w:pStyle w:val="Paragraphedeliste"/>
        <w:autoSpaceDE w:val="0"/>
        <w:autoSpaceDN w:val="0"/>
        <w:adjustRightInd w:val="0"/>
        <w:ind w:left="900"/>
        <w:jc w:val="center"/>
        <w:rPr>
          <w:rFonts w:ascii="Arial Narrow" w:hAnsi="Arial Narrow" w:cs="Arial Narrow,Bold"/>
          <w:b/>
          <w:bCs/>
          <w:sz w:val="22"/>
          <w:szCs w:val="22"/>
        </w:rPr>
      </w:pPr>
      <w:r w:rsidRPr="009F3AD4">
        <w:rPr>
          <w:rFonts w:ascii="Arial Narrow" w:hAnsi="Arial Narrow" w:cs="Arial Narrow,Bold"/>
          <w:b/>
          <w:bCs/>
          <w:sz w:val="22"/>
          <w:szCs w:val="22"/>
        </w:rPr>
        <w:t>o O o</w:t>
      </w:r>
    </w:p>
    <w:p w:rsidR="00136023" w:rsidRPr="009F3AD4" w:rsidRDefault="00136023" w:rsidP="00136023">
      <w:pPr>
        <w:pStyle w:val="Paragraphedeliste"/>
        <w:autoSpaceDE w:val="0"/>
        <w:autoSpaceDN w:val="0"/>
        <w:adjustRightInd w:val="0"/>
        <w:ind w:left="900"/>
        <w:rPr>
          <w:rFonts w:cs="Arial Narrow,Bold"/>
          <w:b/>
          <w:bCs/>
          <w:sz w:val="22"/>
          <w:szCs w:val="22"/>
        </w:rPr>
      </w:pPr>
    </w:p>
    <w:p w:rsidR="00136023" w:rsidRDefault="00136023" w:rsidP="00136023">
      <w:pPr>
        <w:pStyle w:val="Textecourrier"/>
        <w:ind w:left="900"/>
        <w:jc w:val="center"/>
        <w:rPr>
          <w:rFonts w:cs="Arial Narrow,Bold"/>
          <w:b/>
          <w:bCs/>
        </w:rPr>
      </w:pPr>
      <w:r w:rsidRPr="00E76875">
        <w:rPr>
          <w:rFonts w:cs="Arial Narrow,Bold"/>
          <w:b/>
          <w:bCs/>
        </w:rPr>
        <w:t>Après en avoir délibéré, le Conseil,</w:t>
      </w:r>
      <w:r>
        <w:rPr>
          <w:rFonts w:cs="Arial Narrow,Bold"/>
          <w:b/>
          <w:bCs/>
        </w:rPr>
        <w:t xml:space="preserve"> </w:t>
      </w:r>
    </w:p>
    <w:p w:rsidR="00136023" w:rsidRDefault="00815678" w:rsidP="00136023">
      <w:pPr>
        <w:pStyle w:val="Textecourrier"/>
        <w:ind w:left="900"/>
        <w:jc w:val="center"/>
        <w:rPr>
          <w:rFonts w:cs="Arial Narrow,Bold"/>
          <w:b/>
          <w:bCs/>
        </w:rPr>
      </w:pPr>
      <w:r>
        <w:rPr>
          <w:rFonts w:cs="Arial Narrow,Bold"/>
          <w:b/>
          <w:bCs/>
        </w:rPr>
        <w:t>Par 106 voix pour et 5 abstentions</w:t>
      </w:r>
      <w:r w:rsidR="00136023">
        <w:rPr>
          <w:rFonts w:cs="Arial Narrow,Bold"/>
          <w:b/>
          <w:bCs/>
        </w:rPr>
        <w:t>,</w:t>
      </w:r>
    </w:p>
    <w:p w:rsidR="00136023" w:rsidRDefault="00136023" w:rsidP="00136023">
      <w:pPr>
        <w:pStyle w:val="Textecourrier"/>
        <w:ind w:left="900"/>
        <w:jc w:val="center"/>
        <w:rPr>
          <w:rFonts w:cs="Arial Narrow,Bold"/>
          <w:b/>
          <w:bCs/>
        </w:rPr>
      </w:pPr>
    </w:p>
    <w:p w:rsidR="00136023" w:rsidRDefault="00136023" w:rsidP="00136023">
      <w:pPr>
        <w:pStyle w:val="EXPOSE"/>
        <w:numPr>
          <w:ilvl w:val="0"/>
          <w:numId w:val="12"/>
        </w:numPr>
        <w:ind w:left="426"/>
      </w:pPr>
      <w:r>
        <w:t>décide d'adopter le principe d'un taux unique de taxe d'enlèvement des ordures ménagères sur l'ensemble du territoire de Rennes Métropole dès à partir de 2021 ;</w:t>
      </w:r>
    </w:p>
    <w:p w:rsidR="00136023" w:rsidRDefault="00136023" w:rsidP="00136023">
      <w:pPr>
        <w:pStyle w:val="EXPOSE"/>
        <w:numPr>
          <w:ilvl w:val="0"/>
          <w:numId w:val="12"/>
        </w:numPr>
        <w:ind w:left="426"/>
      </w:pPr>
      <w:r>
        <w:t>décide, pour 2021, de fixer le taux unique de la taxe d'enlèvement des ordures ménagères à 5,70 % ;</w:t>
      </w:r>
    </w:p>
    <w:p w:rsidR="00136023" w:rsidRDefault="00136023" w:rsidP="00136023">
      <w:pPr>
        <w:pStyle w:val="EXPOSE"/>
        <w:numPr>
          <w:ilvl w:val="0"/>
          <w:numId w:val="12"/>
        </w:numPr>
        <w:ind w:left="426"/>
      </w:pPr>
      <w:r>
        <w:t xml:space="preserve">décide en conséquence, pour 2021, de fixer </w:t>
      </w:r>
      <w:r w:rsidRPr="00A262FD">
        <w:t>les taux d’imposition de la taxe d’enlèvement</w:t>
      </w:r>
      <w:r>
        <w:t xml:space="preserve"> des ordures ménagères </w:t>
      </w:r>
      <w:r w:rsidRPr="00A262FD">
        <w:t>par zone de perception comme suit :</w:t>
      </w:r>
    </w:p>
    <w:p w:rsidR="00136023" w:rsidRDefault="00136023" w:rsidP="00136023">
      <w:pPr>
        <w:pStyle w:val="EXPOSE"/>
        <w:numPr>
          <w:ilvl w:val="1"/>
          <w:numId w:val="5"/>
        </w:numPr>
      </w:pPr>
      <w:r>
        <w:t xml:space="preserve"> Acigné : 5,70%</w:t>
      </w:r>
    </w:p>
    <w:p w:rsidR="00136023" w:rsidRPr="005A1AB7" w:rsidRDefault="00136023" w:rsidP="00136023">
      <w:pPr>
        <w:pStyle w:val="EXPOSE"/>
        <w:numPr>
          <w:ilvl w:val="1"/>
          <w:numId w:val="5"/>
        </w:numPr>
      </w:pPr>
      <w:r>
        <w:t xml:space="preserve"> </w:t>
      </w:r>
      <w:r w:rsidRPr="005A1AB7">
        <w:t xml:space="preserve">Bécherel : </w:t>
      </w:r>
      <w:r w:rsidRPr="0040728B">
        <w:t>5,70%</w:t>
      </w:r>
    </w:p>
    <w:p w:rsidR="00136023" w:rsidRDefault="00136023" w:rsidP="00136023">
      <w:pPr>
        <w:pStyle w:val="EXPOSE"/>
        <w:numPr>
          <w:ilvl w:val="1"/>
          <w:numId w:val="5"/>
        </w:numPr>
      </w:pPr>
      <w:r>
        <w:t xml:space="preserve"> Betton : </w:t>
      </w:r>
      <w:r w:rsidRPr="0040728B">
        <w:t>5,70%</w:t>
      </w:r>
    </w:p>
    <w:p w:rsidR="00136023" w:rsidRDefault="00136023" w:rsidP="00136023">
      <w:pPr>
        <w:pStyle w:val="EXPOSE"/>
        <w:numPr>
          <w:ilvl w:val="1"/>
          <w:numId w:val="5"/>
        </w:numPr>
      </w:pPr>
      <w:r>
        <w:t xml:space="preserve"> Bourgbarré : 5,70%</w:t>
      </w:r>
    </w:p>
    <w:p w:rsidR="00136023" w:rsidRDefault="00136023" w:rsidP="00136023">
      <w:pPr>
        <w:pStyle w:val="EXPOSE"/>
        <w:numPr>
          <w:ilvl w:val="1"/>
          <w:numId w:val="5"/>
        </w:numPr>
      </w:pPr>
      <w:r>
        <w:t xml:space="preserve"> Brécé : </w:t>
      </w:r>
      <w:r w:rsidRPr="0040728B">
        <w:t>5,70%</w:t>
      </w:r>
    </w:p>
    <w:p w:rsidR="00136023" w:rsidRDefault="00136023" w:rsidP="00136023">
      <w:pPr>
        <w:pStyle w:val="EXPOSE"/>
        <w:numPr>
          <w:ilvl w:val="1"/>
          <w:numId w:val="5"/>
        </w:numPr>
      </w:pPr>
      <w:r>
        <w:t xml:space="preserve"> Bruz : </w:t>
      </w:r>
      <w:r w:rsidRPr="0040728B">
        <w:t>5,70%</w:t>
      </w:r>
    </w:p>
    <w:p w:rsidR="00136023" w:rsidRDefault="00136023" w:rsidP="00136023">
      <w:pPr>
        <w:pStyle w:val="EXPOSE"/>
        <w:numPr>
          <w:ilvl w:val="1"/>
          <w:numId w:val="5"/>
        </w:numPr>
      </w:pPr>
      <w:r>
        <w:t xml:space="preserve"> Cesson-Sévigné (Est boulevard des Alliés) : </w:t>
      </w:r>
      <w:r w:rsidRPr="0040728B">
        <w:t>5,70%</w:t>
      </w:r>
    </w:p>
    <w:p w:rsidR="00136023" w:rsidRDefault="00136023" w:rsidP="00136023">
      <w:pPr>
        <w:pStyle w:val="EXPOSE"/>
        <w:numPr>
          <w:ilvl w:val="1"/>
          <w:numId w:val="5"/>
        </w:numPr>
      </w:pPr>
      <w:r>
        <w:t xml:space="preserve"> Chantepie : </w:t>
      </w:r>
      <w:r w:rsidRPr="0040728B">
        <w:t>5,70%</w:t>
      </w:r>
    </w:p>
    <w:p w:rsidR="00136023" w:rsidRPr="005A1AB7" w:rsidRDefault="00136023" w:rsidP="00136023">
      <w:pPr>
        <w:pStyle w:val="EXPOSE"/>
        <w:numPr>
          <w:ilvl w:val="1"/>
          <w:numId w:val="5"/>
        </w:numPr>
      </w:pPr>
      <w:r w:rsidRPr="005A1AB7">
        <w:t xml:space="preserve"> La Chapelle-Chaussée :</w:t>
      </w:r>
      <w:r>
        <w:t xml:space="preserve"> </w:t>
      </w:r>
      <w:r w:rsidRPr="0040728B">
        <w:t>5,70%</w:t>
      </w:r>
    </w:p>
    <w:p w:rsidR="00136023" w:rsidRDefault="00136023" w:rsidP="00136023">
      <w:pPr>
        <w:pStyle w:val="EXPOSE"/>
        <w:numPr>
          <w:ilvl w:val="1"/>
          <w:numId w:val="5"/>
        </w:numPr>
      </w:pPr>
      <w:r>
        <w:t xml:space="preserve"> La Chapelle-des-Fougeretz : </w:t>
      </w:r>
      <w:r w:rsidRPr="0040728B">
        <w:t>5,70%</w:t>
      </w:r>
    </w:p>
    <w:p w:rsidR="00136023" w:rsidRDefault="00136023" w:rsidP="00136023">
      <w:pPr>
        <w:pStyle w:val="EXPOSE"/>
        <w:numPr>
          <w:ilvl w:val="1"/>
          <w:numId w:val="5"/>
        </w:numPr>
      </w:pPr>
      <w:r>
        <w:t xml:space="preserve"> La Chapelle-Thouarault : </w:t>
      </w:r>
      <w:r w:rsidRPr="0040728B">
        <w:t>5,70%</w:t>
      </w:r>
    </w:p>
    <w:p w:rsidR="00136023" w:rsidRDefault="00136023" w:rsidP="00136023">
      <w:pPr>
        <w:pStyle w:val="EXPOSE"/>
        <w:numPr>
          <w:ilvl w:val="1"/>
          <w:numId w:val="5"/>
        </w:numPr>
      </w:pPr>
      <w:r>
        <w:t xml:space="preserve"> Chartres-de-Bretagne : </w:t>
      </w:r>
      <w:r w:rsidRPr="0040728B">
        <w:t>5,70%</w:t>
      </w:r>
    </w:p>
    <w:p w:rsidR="00136023" w:rsidRDefault="00136023" w:rsidP="00136023">
      <w:pPr>
        <w:pStyle w:val="EXPOSE"/>
        <w:numPr>
          <w:ilvl w:val="1"/>
          <w:numId w:val="5"/>
        </w:numPr>
      </w:pPr>
      <w:r>
        <w:t xml:space="preserve"> Chavagne : </w:t>
      </w:r>
      <w:r w:rsidRPr="0040728B">
        <w:t>5,70%</w:t>
      </w:r>
    </w:p>
    <w:p w:rsidR="00136023" w:rsidRDefault="00136023" w:rsidP="00136023">
      <w:pPr>
        <w:pStyle w:val="EXPOSE"/>
        <w:numPr>
          <w:ilvl w:val="1"/>
          <w:numId w:val="5"/>
        </w:numPr>
      </w:pPr>
      <w:r>
        <w:t xml:space="preserve"> Chevaigné : </w:t>
      </w:r>
      <w:r w:rsidRPr="0040728B">
        <w:t>5,70%</w:t>
      </w:r>
    </w:p>
    <w:p w:rsidR="00136023" w:rsidRDefault="00136023" w:rsidP="00136023">
      <w:pPr>
        <w:pStyle w:val="EXPOSE"/>
        <w:numPr>
          <w:ilvl w:val="1"/>
          <w:numId w:val="5"/>
        </w:numPr>
      </w:pPr>
      <w:r>
        <w:t xml:space="preserve"> Cintré : </w:t>
      </w:r>
      <w:r w:rsidRPr="0040728B">
        <w:t>5,70%</w:t>
      </w:r>
    </w:p>
    <w:p w:rsidR="00136023" w:rsidRDefault="00136023" w:rsidP="00136023">
      <w:pPr>
        <w:pStyle w:val="EXPOSE"/>
        <w:numPr>
          <w:ilvl w:val="1"/>
          <w:numId w:val="5"/>
        </w:numPr>
      </w:pPr>
      <w:r>
        <w:t xml:space="preserve"> Clayes : </w:t>
      </w:r>
      <w:r w:rsidRPr="0040728B">
        <w:t>5,70%</w:t>
      </w:r>
    </w:p>
    <w:p w:rsidR="00136023" w:rsidRDefault="00136023" w:rsidP="00136023">
      <w:pPr>
        <w:pStyle w:val="EXPOSE"/>
        <w:numPr>
          <w:ilvl w:val="1"/>
          <w:numId w:val="5"/>
        </w:numPr>
      </w:pPr>
      <w:r>
        <w:t xml:space="preserve"> Corps-Nuds : 5,70%</w:t>
      </w:r>
    </w:p>
    <w:p w:rsidR="00136023" w:rsidRDefault="00136023" w:rsidP="00136023">
      <w:pPr>
        <w:pStyle w:val="EXPOSE"/>
        <w:numPr>
          <w:ilvl w:val="1"/>
          <w:numId w:val="5"/>
        </w:numPr>
      </w:pPr>
      <w:r>
        <w:t xml:space="preserve"> Gévezé : </w:t>
      </w:r>
      <w:r w:rsidRPr="0040728B">
        <w:t>5,70%</w:t>
      </w:r>
    </w:p>
    <w:p w:rsidR="00136023" w:rsidRDefault="00136023" w:rsidP="00136023">
      <w:pPr>
        <w:pStyle w:val="EXPOSE"/>
        <w:numPr>
          <w:ilvl w:val="1"/>
          <w:numId w:val="5"/>
        </w:numPr>
      </w:pPr>
      <w:r>
        <w:lastRenderedPageBreak/>
        <w:t xml:space="preserve"> L’Hermitage : </w:t>
      </w:r>
      <w:r w:rsidRPr="0040728B">
        <w:t>5,70%</w:t>
      </w:r>
    </w:p>
    <w:p w:rsidR="00136023" w:rsidRDefault="00136023" w:rsidP="00136023">
      <w:pPr>
        <w:pStyle w:val="EXPOSE"/>
        <w:numPr>
          <w:ilvl w:val="1"/>
          <w:numId w:val="5"/>
        </w:numPr>
      </w:pPr>
      <w:r>
        <w:t xml:space="preserve"> Laillé : </w:t>
      </w:r>
      <w:r w:rsidRPr="0040728B">
        <w:t>5,70%</w:t>
      </w:r>
    </w:p>
    <w:p w:rsidR="00136023" w:rsidRPr="005A1AB7" w:rsidRDefault="00136023" w:rsidP="00136023">
      <w:pPr>
        <w:pStyle w:val="EXPOSE"/>
        <w:numPr>
          <w:ilvl w:val="1"/>
          <w:numId w:val="5"/>
        </w:numPr>
      </w:pPr>
      <w:r w:rsidRPr="005A1AB7">
        <w:t xml:space="preserve"> Langan : </w:t>
      </w:r>
      <w:r w:rsidRPr="0040728B">
        <w:t>5,70%</w:t>
      </w:r>
    </w:p>
    <w:p w:rsidR="00136023" w:rsidRPr="005A1AB7" w:rsidRDefault="00136023" w:rsidP="00136023">
      <w:pPr>
        <w:pStyle w:val="EXPOSE"/>
        <w:numPr>
          <w:ilvl w:val="1"/>
          <w:numId w:val="5"/>
        </w:numPr>
      </w:pPr>
      <w:r w:rsidRPr="005A1AB7">
        <w:t xml:space="preserve"> Miniac-sous-Bécherel :</w:t>
      </w:r>
      <w:r>
        <w:t xml:space="preserve"> </w:t>
      </w:r>
      <w:r w:rsidRPr="0040728B">
        <w:t>5,70%</w:t>
      </w:r>
    </w:p>
    <w:p w:rsidR="00136023" w:rsidRDefault="00136023" w:rsidP="00136023">
      <w:pPr>
        <w:pStyle w:val="EXPOSE"/>
        <w:numPr>
          <w:ilvl w:val="1"/>
          <w:numId w:val="5"/>
        </w:numPr>
      </w:pPr>
      <w:r>
        <w:t xml:space="preserve"> Montgermont : </w:t>
      </w:r>
      <w:r w:rsidRPr="0040728B">
        <w:t>5,70%</w:t>
      </w:r>
    </w:p>
    <w:p w:rsidR="00136023" w:rsidRDefault="00136023" w:rsidP="00136023">
      <w:pPr>
        <w:pStyle w:val="EXPOSE"/>
        <w:numPr>
          <w:ilvl w:val="1"/>
          <w:numId w:val="5"/>
        </w:numPr>
      </w:pPr>
      <w:r>
        <w:t xml:space="preserve"> Mordelles : </w:t>
      </w:r>
      <w:r w:rsidRPr="0040728B">
        <w:t>5,70%</w:t>
      </w:r>
    </w:p>
    <w:p w:rsidR="00136023" w:rsidRDefault="00136023" w:rsidP="00136023">
      <w:pPr>
        <w:pStyle w:val="EXPOSE"/>
        <w:numPr>
          <w:ilvl w:val="1"/>
          <w:numId w:val="5"/>
        </w:numPr>
      </w:pPr>
      <w:r>
        <w:t xml:space="preserve"> Nouvoitou : </w:t>
      </w:r>
      <w:r w:rsidRPr="0040728B">
        <w:t>5,70%</w:t>
      </w:r>
    </w:p>
    <w:p w:rsidR="00136023" w:rsidRDefault="00136023" w:rsidP="00136023">
      <w:pPr>
        <w:pStyle w:val="EXPOSE"/>
        <w:numPr>
          <w:ilvl w:val="1"/>
          <w:numId w:val="5"/>
        </w:numPr>
      </w:pPr>
      <w:r>
        <w:t xml:space="preserve"> Noyal-Châtillon-sur-Seiche : </w:t>
      </w:r>
      <w:r w:rsidRPr="0040728B">
        <w:t>5,70%</w:t>
      </w:r>
    </w:p>
    <w:p w:rsidR="00136023" w:rsidRDefault="00136023" w:rsidP="00136023">
      <w:pPr>
        <w:pStyle w:val="EXPOSE"/>
        <w:numPr>
          <w:ilvl w:val="1"/>
          <w:numId w:val="5"/>
        </w:numPr>
      </w:pPr>
      <w:r>
        <w:t xml:space="preserve"> Orgères : </w:t>
      </w:r>
      <w:r w:rsidRPr="0040728B">
        <w:t>5,70%</w:t>
      </w:r>
    </w:p>
    <w:p w:rsidR="00136023" w:rsidRDefault="00136023" w:rsidP="00136023">
      <w:pPr>
        <w:pStyle w:val="EXPOSE"/>
        <w:numPr>
          <w:ilvl w:val="1"/>
          <w:numId w:val="5"/>
        </w:numPr>
      </w:pPr>
      <w:r>
        <w:t xml:space="preserve"> Pacé : </w:t>
      </w:r>
      <w:r w:rsidRPr="0040728B">
        <w:t>5,70%</w:t>
      </w:r>
    </w:p>
    <w:p w:rsidR="00136023" w:rsidRDefault="00136023" w:rsidP="00136023">
      <w:pPr>
        <w:pStyle w:val="EXPOSE"/>
        <w:numPr>
          <w:ilvl w:val="1"/>
          <w:numId w:val="5"/>
        </w:numPr>
      </w:pPr>
      <w:r>
        <w:t xml:space="preserve"> Parthenay-de-Bretagne :</w:t>
      </w:r>
      <w:r w:rsidRPr="0040728B">
        <w:t xml:space="preserve"> 5,70%</w:t>
      </w:r>
    </w:p>
    <w:p w:rsidR="00136023" w:rsidRDefault="00136023" w:rsidP="00136023">
      <w:pPr>
        <w:pStyle w:val="EXPOSE"/>
        <w:numPr>
          <w:ilvl w:val="1"/>
          <w:numId w:val="5"/>
        </w:numPr>
      </w:pPr>
      <w:r>
        <w:t xml:space="preserve"> Pont-Péan : </w:t>
      </w:r>
      <w:r w:rsidRPr="0040728B">
        <w:t>5,70%</w:t>
      </w:r>
    </w:p>
    <w:p w:rsidR="00136023" w:rsidRDefault="00136023" w:rsidP="00136023">
      <w:pPr>
        <w:pStyle w:val="EXPOSE"/>
        <w:numPr>
          <w:ilvl w:val="1"/>
          <w:numId w:val="5"/>
        </w:numPr>
      </w:pPr>
      <w:r>
        <w:t xml:space="preserve"> Le Rheu : </w:t>
      </w:r>
      <w:r w:rsidRPr="0040728B">
        <w:t>5,70%</w:t>
      </w:r>
    </w:p>
    <w:p w:rsidR="00136023" w:rsidRPr="005A1AB7" w:rsidRDefault="00136023" w:rsidP="00136023">
      <w:pPr>
        <w:pStyle w:val="EXPOSE"/>
        <w:numPr>
          <w:ilvl w:val="1"/>
          <w:numId w:val="5"/>
        </w:numPr>
      </w:pPr>
      <w:r w:rsidRPr="005A1AB7">
        <w:t xml:space="preserve"> Romillé :</w:t>
      </w:r>
      <w:r>
        <w:t xml:space="preserve"> </w:t>
      </w:r>
      <w:r w:rsidRPr="0040728B">
        <w:t>5,70%</w:t>
      </w:r>
    </w:p>
    <w:p w:rsidR="00136023" w:rsidRDefault="00136023" w:rsidP="00136023">
      <w:pPr>
        <w:pStyle w:val="EXPOSE"/>
        <w:numPr>
          <w:ilvl w:val="1"/>
          <w:numId w:val="5"/>
        </w:numPr>
      </w:pPr>
      <w:r>
        <w:t xml:space="preserve"> Saint -Armel : </w:t>
      </w:r>
      <w:r w:rsidRPr="0040728B">
        <w:t>5,70%</w:t>
      </w:r>
    </w:p>
    <w:p w:rsidR="00136023" w:rsidRDefault="00136023" w:rsidP="00136023">
      <w:pPr>
        <w:pStyle w:val="EXPOSE"/>
        <w:numPr>
          <w:ilvl w:val="1"/>
          <w:numId w:val="5"/>
        </w:numPr>
      </w:pPr>
      <w:r>
        <w:t xml:space="preserve"> Saint-Erblon : </w:t>
      </w:r>
      <w:r w:rsidRPr="0040728B">
        <w:t>5,70%</w:t>
      </w:r>
    </w:p>
    <w:p w:rsidR="00136023" w:rsidRDefault="00136023" w:rsidP="00136023">
      <w:pPr>
        <w:pStyle w:val="EXPOSE"/>
        <w:numPr>
          <w:ilvl w:val="1"/>
          <w:numId w:val="5"/>
        </w:numPr>
      </w:pPr>
      <w:r>
        <w:t xml:space="preserve"> Saint-Gilles : </w:t>
      </w:r>
      <w:r w:rsidRPr="0040728B">
        <w:t>5,70%</w:t>
      </w:r>
    </w:p>
    <w:p w:rsidR="00136023" w:rsidRDefault="00136023" w:rsidP="00136023">
      <w:pPr>
        <w:pStyle w:val="EXPOSE"/>
        <w:numPr>
          <w:ilvl w:val="1"/>
          <w:numId w:val="5"/>
        </w:numPr>
      </w:pPr>
      <w:r>
        <w:t xml:space="preserve"> Saint-Grégoire (extra rocade) : </w:t>
      </w:r>
      <w:r w:rsidRPr="0040728B">
        <w:t>5,70%</w:t>
      </w:r>
    </w:p>
    <w:p w:rsidR="00136023" w:rsidRDefault="00136023" w:rsidP="00136023">
      <w:pPr>
        <w:pStyle w:val="EXPOSE"/>
        <w:numPr>
          <w:ilvl w:val="1"/>
          <w:numId w:val="5"/>
        </w:numPr>
      </w:pPr>
      <w:r>
        <w:t xml:space="preserve"> Saint-Jacques de la Lande (extra rocade) : </w:t>
      </w:r>
      <w:r w:rsidRPr="0040728B">
        <w:t>5,70%</w:t>
      </w:r>
    </w:p>
    <w:p w:rsidR="00136023" w:rsidRDefault="00136023" w:rsidP="00136023">
      <w:pPr>
        <w:pStyle w:val="EXPOSE"/>
        <w:numPr>
          <w:ilvl w:val="1"/>
          <w:numId w:val="5"/>
        </w:numPr>
      </w:pPr>
      <w:r>
        <w:t xml:space="preserve"> Saint Sulpice la Forêt : </w:t>
      </w:r>
      <w:r w:rsidRPr="0040728B">
        <w:t>5,70%</w:t>
      </w:r>
    </w:p>
    <w:p w:rsidR="00136023" w:rsidRDefault="00136023" w:rsidP="00136023">
      <w:pPr>
        <w:pStyle w:val="EXPOSE"/>
        <w:numPr>
          <w:ilvl w:val="1"/>
          <w:numId w:val="5"/>
        </w:numPr>
      </w:pPr>
      <w:r>
        <w:t xml:space="preserve"> Thorigné-Fouillard : </w:t>
      </w:r>
      <w:r w:rsidRPr="0040728B">
        <w:t>5,70%</w:t>
      </w:r>
    </w:p>
    <w:p w:rsidR="00136023" w:rsidRDefault="00136023" w:rsidP="00136023">
      <w:pPr>
        <w:pStyle w:val="EXPOSE"/>
        <w:numPr>
          <w:ilvl w:val="1"/>
          <w:numId w:val="5"/>
        </w:numPr>
      </w:pPr>
      <w:r>
        <w:t xml:space="preserve"> Le Verger : </w:t>
      </w:r>
      <w:r w:rsidRPr="0040728B">
        <w:t>5,70%</w:t>
      </w:r>
    </w:p>
    <w:p w:rsidR="00136023" w:rsidRPr="003A5C82" w:rsidRDefault="00136023" w:rsidP="00136023">
      <w:pPr>
        <w:pStyle w:val="EXPOSE"/>
        <w:numPr>
          <w:ilvl w:val="1"/>
          <w:numId w:val="5"/>
        </w:numPr>
      </w:pPr>
      <w:r w:rsidRPr="003A5C82">
        <w:t xml:space="preserve"> Vern-sur-Seiche : </w:t>
      </w:r>
      <w:r w:rsidRPr="0040728B">
        <w:t>5,70%</w:t>
      </w:r>
    </w:p>
    <w:p w:rsidR="00136023" w:rsidRDefault="00136023" w:rsidP="00136023">
      <w:pPr>
        <w:pStyle w:val="EXPOSE"/>
        <w:numPr>
          <w:ilvl w:val="1"/>
          <w:numId w:val="5"/>
        </w:numPr>
      </w:pPr>
      <w:r>
        <w:t xml:space="preserve"> Vezin-le-Coquet : </w:t>
      </w:r>
      <w:r w:rsidRPr="0040728B">
        <w:t>5,70%</w:t>
      </w:r>
    </w:p>
    <w:p w:rsidR="00136023" w:rsidRDefault="00136023" w:rsidP="00136023">
      <w:pPr>
        <w:pStyle w:val="EXPOSE"/>
        <w:numPr>
          <w:ilvl w:val="1"/>
          <w:numId w:val="5"/>
        </w:numPr>
      </w:pPr>
      <w:r>
        <w:t xml:space="preserve"> Cesson-Sévigné (Ouest boulevard des Alliés) : </w:t>
      </w:r>
      <w:r w:rsidRPr="0040728B">
        <w:t>5,70%</w:t>
      </w:r>
    </w:p>
    <w:p w:rsidR="00136023" w:rsidRDefault="00136023" w:rsidP="00136023">
      <w:pPr>
        <w:pStyle w:val="EXPOSE"/>
        <w:numPr>
          <w:ilvl w:val="1"/>
          <w:numId w:val="5"/>
        </w:numPr>
      </w:pPr>
      <w:r>
        <w:t xml:space="preserve"> Rennes : </w:t>
      </w:r>
      <w:r w:rsidRPr="0040728B">
        <w:t>5,70%</w:t>
      </w:r>
    </w:p>
    <w:p w:rsidR="00136023" w:rsidRDefault="00136023" w:rsidP="00136023">
      <w:pPr>
        <w:pStyle w:val="EXPOSE"/>
        <w:numPr>
          <w:ilvl w:val="1"/>
          <w:numId w:val="5"/>
        </w:numPr>
      </w:pPr>
      <w:r>
        <w:t xml:space="preserve"> Saint-Grégoire (intra rocade) : </w:t>
      </w:r>
      <w:r w:rsidRPr="0040728B">
        <w:t>5,70%</w:t>
      </w:r>
    </w:p>
    <w:p w:rsidR="00136023" w:rsidRDefault="00136023" w:rsidP="00136023">
      <w:pPr>
        <w:pStyle w:val="EXPOSE"/>
        <w:numPr>
          <w:ilvl w:val="1"/>
          <w:numId w:val="5"/>
        </w:numPr>
      </w:pPr>
      <w:r>
        <w:t xml:space="preserve"> Saint-Jacques de la Lande (intra rocade) : </w:t>
      </w:r>
      <w:r w:rsidRPr="0040728B">
        <w:t>5,70%</w:t>
      </w:r>
    </w:p>
    <w:p w:rsidR="00136023" w:rsidRDefault="00136023" w:rsidP="00136023">
      <w:pPr>
        <w:pStyle w:val="EXPOSE"/>
        <w:ind w:left="1440"/>
      </w:pPr>
    </w:p>
    <w:p w:rsidR="00136023" w:rsidRDefault="00136023">
      <w:pPr>
        <w:pStyle w:val="EXPOSE"/>
        <w:rPr>
          <w:b/>
          <w:bCs/>
          <w:u w:val="single"/>
        </w:rPr>
      </w:pPr>
    </w:p>
    <w:sectPr w:rsidR="00136023">
      <w:headerReference w:type="default" r:id="rId9"/>
      <w:footerReference w:type="default" r:id="rId10"/>
      <w:headerReference w:type="first" r:id="rId11"/>
      <w:footerReference w:type="first" r:id="rId12"/>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5720" w:rsidRDefault="00895720">
      <w:r>
        <w:separator/>
      </w:r>
    </w:p>
  </w:endnote>
  <w:endnote w:type="continuationSeparator" w:id="0">
    <w:p w:rsidR="00895720" w:rsidRDefault="00895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5F" w:rsidRPr="005E065F" w:rsidRDefault="00EB6A5F" w:rsidP="005E065F">
    <w:pPr>
      <w:jc w:val="center"/>
      <w:rPr>
        <w:rFonts w:ascii="Arial Narrow" w:hAnsi="Arial Narrow"/>
        <w:iCs/>
        <w:sz w:val="18"/>
      </w:rPr>
    </w:pPr>
    <w:r w:rsidRPr="005E065F">
      <w:rPr>
        <w:rStyle w:val="Numrodepage"/>
        <w:rFonts w:ascii="Arial Narrow" w:hAnsi="Arial Narrow"/>
        <w:sz w:val="18"/>
      </w:rPr>
      <w:fldChar w:fldCharType="begin"/>
    </w:r>
    <w:r w:rsidRPr="005E065F">
      <w:rPr>
        <w:rStyle w:val="Numrodepage"/>
        <w:rFonts w:ascii="Arial Narrow" w:hAnsi="Arial Narrow"/>
        <w:sz w:val="18"/>
      </w:rPr>
      <w:instrText xml:space="preserve"> PAGE </w:instrText>
    </w:r>
    <w:r w:rsidRPr="005E065F">
      <w:rPr>
        <w:rStyle w:val="Numrodepage"/>
        <w:rFonts w:ascii="Arial Narrow" w:hAnsi="Arial Narrow"/>
        <w:sz w:val="18"/>
      </w:rPr>
      <w:fldChar w:fldCharType="separate"/>
    </w:r>
    <w:r w:rsidR="00A37921">
      <w:rPr>
        <w:rStyle w:val="Numrodepage"/>
        <w:rFonts w:ascii="Arial Narrow" w:hAnsi="Arial Narrow"/>
        <w:noProof/>
        <w:sz w:val="18"/>
      </w:rPr>
      <w:t>5</w:t>
    </w:r>
    <w:r w:rsidRPr="005E065F">
      <w:rPr>
        <w:rStyle w:val="Numrodepage"/>
        <w:rFonts w:ascii="Arial Narrow" w:hAnsi="Arial Narrow"/>
        <w:sz w:val="18"/>
      </w:rPr>
      <w:fldChar w:fldCharType="end"/>
    </w:r>
    <w:r w:rsidRPr="005E065F">
      <w:rPr>
        <w:rStyle w:val="Numrodepage"/>
        <w:rFonts w:ascii="Arial Narrow" w:hAnsi="Arial Narrow"/>
        <w:sz w:val="18"/>
      </w:rPr>
      <w:t>/</w:t>
    </w:r>
    <w:r w:rsidRPr="005E065F">
      <w:rPr>
        <w:rStyle w:val="Numrodepage"/>
        <w:rFonts w:ascii="Arial Narrow" w:hAnsi="Arial Narrow"/>
        <w:sz w:val="18"/>
      </w:rPr>
      <w:fldChar w:fldCharType="begin"/>
    </w:r>
    <w:r w:rsidRPr="005E065F">
      <w:rPr>
        <w:rStyle w:val="Numrodepage"/>
        <w:rFonts w:ascii="Arial Narrow" w:hAnsi="Arial Narrow"/>
        <w:sz w:val="18"/>
      </w:rPr>
      <w:instrText xml:space="preserve"> NUMPAGES </w:instrText>
    </w:r>
    <w:r w:rsidRPr="005E065F">
      <w:rPr>
        <w:rStyle w:val="Numrodepage"/>
        <w:rFonts w:ascii="Arial Narrow" w:hAnsi="Arial Narrow"/>
        <w:sz w:val="18"/>
      </w:rPr>
      <w:fldChar w:fldCharType="separate"/>
    </w:r>
    <w:r w:rsidR="00A37921">
      <w:rPr>
        <w:rStyle w:val="Numrodepage"/>
        <w:rFonts w:ascii="Arial Narrow" w:hAnsi="Arial Narrow"/>
        <w:noProof/>
        <w:sz w:val="18"/>
      </w:rPr>
      <w:t>5</w:t>
    </w:r>
    <w:r w:rsidRPr="005E065F">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5F" w:rsidRPr="005E065F" w:rsidRDefault="00EB6A5F">
    <w:pPr>
      <w:pStyle w:val="Pieddepage"/>
      <w:jc w:val="center"/>
      <w:rPr>
        <w:rFonts w:ascii="Arial Narrow" w:hAnsi="Arial Narrow"/>
        <w:sz w:val="18"/>
      </w:rPr>
    </w:pPr>
    <w:r w:rsidRPr="005E065F">
      <w:rPr>
        <w:rStyle w:val="Numrodepage"/>
        <w:rFonts w:ascii="Arial Narrow" w:hAnsi="Arial Narrow"/>
        <w:sz w:val="18"/>
      </w:rPr>
      <w:fldChar w:fldCharType="begin"/>
    </w:r>
    <w:r w:rsidRPr="005E065F">
      <w:rPr>
        <w:rStyle w:val="Numrodepage"/>
        <w:rFonts w:ascii="Arial Narrow" w:hAnsi="Arial Narrow"/>
        <w:sz w:val="18"/>
      </w:rPr>
      <w:instrText xml:space="preserve"> PAGE </w:instrText>
    </w:r>
    <w:r w:rsidRPr="005E065F">
      <w:rPr>
        <w:rStyle w:val="Numrodepage"/>
        <w:rFonts w:ascii="Arial Narrow" w:hAnsi="Arial Narrow"/>
        <w:sz w:val="18"/>
      </w:rPr>
      <w:fldChar w:fldCharType="separate"/>
    </w:r>
    <w:r w:rsidR="00A37921">
      <w:rPr>
        <w:rStyle w:val="Numrodepage"/>
        <w:rFonts w:ascii="Arial Narrow" w:hAnsi="Arial Narrow"/>
        <w:noProof/>
        <w:sz w:val="18"/>
      </w:rPr>
      <w:t>1</w:t>
    </w:r>
    <w:r w:rsidRPr="005E065F">
      <w:rPr>
        <w:rStyle w:val="Numrodepage"/>
        <w:rFonts w:ascii="Arial Narrow" w:hAnsi="Arial Narrow"/>
        <w:sz w:val="18"/>
      </w:rPr>
      <w:fldChar w:fldCharType="end"/>
    </w:r>
    <w:r w:rsidRPr="005E065F">
      <w:rPr>
        <w:rStyle w:val="Numrodepage"/>
        <w:rFonts w:ascii="Arial Narrow" w:hAnsi="Arial Narrow"/>
        <w:sz w:val="18"/>
      </w:rPr>
      <w:t>/</w:t>
    </w:r>
    <w:r w:rsidRPr="005E065F">
      <w:rPr>
        <w:rStyle w:val="Numrodepage"/>
        <w:rFonts w:ascii="Arial Narrow" w:hAnsi="Arial Narrow"/>
        <w:sz w:val="18"/>
      </w:rPr>
      <w:fldChar w:fldCharType="begin"/>
    </w:r>
    <w:r w:rsidRPr="005E065F">
      <w:rPr>
        <w:rStyle w:val="Numrodepage"/>
        <w:rFonts w:ascii="Arial Narrow" w:hAnsi="Arial Narrow"/>
        <w:sz w:val="18"/>
      </w:rPr>
      <w:instrText xml:space="preserve"> NUMPAGES </w:instrText>
    </w:r>
    <w:r w:rsidRPr="005E065F">
      <w:rPr>
        <w:rStyle w:val="Numrodepage"/>
        <w:rFonts w:ascii="Arial Narrow" w:hAnsi="Arial Narrow"/>
        <w:sz w:val="18"/>
      </w:rPr>
      <w:fldChar w:fldCharType="separate"/>
    </w:r>
    <w:r w:rsidR="00A37921">
      <w:rPr>
        <w:rStyle w:val="Numrodepage"/>
        <w:rFonts w:ascii="Arial Narrow" w:hAnsi="Arial Narrow"/>
        <w:noProof/>
        <w:sz w:val="18"/>
      </w:rPr>
      <w:t>5</w:t>
    </w:r>
    <w:r w:rsidRPr="005E065F">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5720" w:rsidRDefault="00895720">
      <w:r>
        <w:separator/>
      </w:r>
    </w:p>
  </w:footnote>
  <w:footnote w:type="continuationSeparator" w:id="0">
    <w:p w:rsidR="00895720" w:rsidRDefault="008957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5F" w:rsidRDefault="00FD7C11">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1E02F4DE" wp14:editId="7278AFFA">
              <wp:simplePos x="0" y="0"/>
              <wp:positionH relativeFrom="column">
                <wp:posOffset>3086100</wp:posOffset>
              </wp:positionH>
              <wp:positionV relativeFrom="paragraph">
                <wp:posOffset>411480</wp:posOffset>
              </wp:positionV>
              <wp:extent cx="2971800" cy="685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6A5F" w:rsidRDefault="00836D9C">
                          <w:pPr>
                            <w:pStyle w:val="Bureausecondepage"/>
                          </w:pPr>
                          <w:r>
                            <w:t>Conseil du 11 mars</w:t>
                          </w:r>
                          <w:r w:rsidR="00EB6A5F">
                            <w:t xml:space="preserve"> 20</w:t>
                          </w:r>
                          <w:r w:rsidR="00C700BC">
                            <w:t>21</w:t>
                          </w:r>
                        </w:p>
                        <w:p w:rsidR="00EB6A5F" w:rsidRDefault="00EB6A5F">
                          <w:pPr>
                            <w:pStyle w:val="RAPPORTsuite"/>
                            <w:rPr>
                              <w:sz w:val="48"/>
                            </w:rPr>
                          </w:pPr>
                          <w:r>
                            <w:t>RAPPORT (suite)</w:t>
                          </w:r>
                        </w:p>
                        <w:p w:rsidR="00EB6A5F" w:rsidRDefault="00EB6A5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243pt;margin-top:32.4pt;width:234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S/GgAIAAA8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" o:allowincell="f" stroked="f">
              <v:textbox>
                <w:txbxContent>
                  <w:p w:rsidR="00EB6A5F" w:rsidRDefault="00836D9C">
                    <w:pPr>
                      <w:pStyle w:val="Bureausecondepage"/>
                    </w:pPr>
                    <w:r>
                      <w:t>Conseil du 11 mars</w:t>
                    </w:r>
                    <w:r w:rsidR="00EB6A5F">
                      <w:t xml:space="preserve"> 20</w:t>
                    </w:r>
                    <w:r w:rsidR="00C700BC">
                      <w:t>21</w:t>
                    </w:r>
                  </w:p>
                  <w:p w:rsidR="00EB6A5F" w:rsidRDefault="00EB6A5F">
                    <w:pPr>
                      <w:pStyle w:val="RAPPORTsuite"/>
                      <w:rPr>
                        <w:sz w:val="48"/>
                      </w:rPr>
                    </w:pPr>
                    <w:r>
                      <w:t>RAPPORT (suite)</w:t>
                    </w:r>
                  </w:p>
                  <w:p w:rsidR="00EB6A5F" w:rsidRDefault="00EB6A5F"/>
                </w:txbxContent>
              </v:textbox>
            </v:shape>
          </w:pict>
        </mc:Fallback>
      </mc:AlternateContent>
    </w:r>
    <w:r>
      <w:rPr>
        <w:rFonts w:ascii="Century Gothic" w:hAnsi="Century Gothic"/>
        <w:noProof/>
      </w:rPr>
      <w:drawing>
        <wp:inline distT="0" distB="0" distL="0" distR="0" wp14:anchorId="1B040707" wp14:editId="048E5F1A">
          <wp:extent cx="574675" cy="770890"/>
          <wp:effectExtent l="0" t="0" r="0" b="0"/>
          <wp:docPr id="5" name="Image 5"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77089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5F" w:rsidRDefault="00FD7C11">
    <w:pPr>
      <w:tabs>
        <w:tab w:val="left" w:pos="5550"/>
      </w:tabs>
      <w:ind w:left="708" w:hanging="1842"/>
      <w:rPr>
        <w:rFonts w:ascii="Century Gothic" w:hAnsi="Century Gothic"/>
      </w:rPr>
    </w:pPr>
    <w:r>
      <w:rPr>
        <w:rFonts w:ascii="Century Gothic" w:hAnsi="Century Gothic"/>
        <w:noProof/>
      </w:rPr>
      <w:drawing>
        <wp:inline distT="0" distB="0" distL="0" distR="0" wp14:anchorId="64E32DD4" wp14:editId="7A61FF7E">
          <wp:extent cx="2397125" cy="927735"/>
          <wp:effectExtent l="0" t="0" r="3175" b="5715"/>
          <wp:docPr id="6" name="Image 6"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7125" cy="927735"/>
                  </a:xfrm>
                  <a:prstGeom prst="rect">
                    <a:avLst/>
                  </a:prstGeom>
                  <a:noFill/>
                  <a:ln>
                    <a:noFill/>
                  </a:ln>
                </pic:spPr>
              </pic:pic>
            </a:graphicData>
          </a:graphic>
        </wp:inline>
      </w:drawing>
    </w:r>
  </w:p>
  <w:p w:rsidR="00EB6A5F" w:rsidRDefault="00836D9C">
    <w:pPr>
      <w:pStyle w:val="Bureauldu"/>
    </w:pPr>
    <w:r>
      <w:t>Conseil du 11 mars</w:t>
    </w:r>
    <w:r w:rsidR="00EB6A5F">
      <w:t xml:space="preserve"> 20</w:t>
    </w:r>
    <w:r w:rsidR="002E39AD">
      <w:t>21</w:t>
    </w:r>
  </w:p>
  <w:p w:rsidR="00EB6A5F" w:rsidRDefault="00EB6A5F">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50FFB"/>
    <w:multiLevelType w:val="hybridMultilevel"/>
    <w:tmpl w:val="82CE83D4"/>
    <w:lvl w:ilvl="0" w:tplc="785014A2">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9D42D04"/>
    <w:multiLevelType w:val="hybridMultilevel"/>
    <w:tmpl w:val="9FAE6FD6"/>
    <w:lvl w:ilvl="0" w:tplc="040C0003">
      <w:start w:val="1"/>
      <w:numFmt w:val="bullet"/>
      <w:lvlText w:val="o"/>
      <w:lvlJc w:val="left"/>
      <w:pPr>
        <w:tabs>
          <w:tab w:val="num" w:pos="1068"/>
        </w:tabs>
        <w:ind w:left="1068" w:hanging="360"/>
      </w:pPr>
      <w:rPr>
        <w:rFonts w:ascii="Courier New" w:hAnsi="Courier New" w:cs="Courier New" w:hint="default"/>
      </w:rPr>
    </w:lvl>
    <w:lvl w:ilvl="1" w:tplc="785014A2">
      <w:start w:val="1"/>
      <w:numFmt w:val="bullet"/>
      <w:lvlText w:val="-"/>
      <w:lvlJc w:val="left"/>
      <w:pPr>
        <w:tabs>
          <w:tab w:val="num" w:pos="1788"/>
        </w:tabs>
        <w:ind w:left="1712" w:hanging="284"/>
      </w:pPr>
      <w:rPr>
        <w:rFonts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
    <w:nsid w:val="0B9A5033"/>
    <w:multiLevelType w:val="hybridMultilevel"/>
    <w:tmpl w:val="ED324250"/>
    <w:lvl w:ilvl="0" w:tplc="9F4001EA">
      <w:numFmt w:val="bullet"/>
      <w:lvlText w:val="-"/>
      <w:lvlJc w:val="left"/>
      <w:pPr>
        <w:tabs>
          <w:tab w:val="num" w:pos="720"/>
        </w:tabs>
        <w:ind w:left="720" w:hanging="360"/>
      </w:pPr>
      <w:rPr>
        <w:rFonts w:ascii="Times New Roman" w:eastAsia="Arial Unicode MS"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23121A55"/>
    <w:multiLevelType w:val="hybridMultilevel"/>
    <w:tmpl w:val="B7B2ADAE"/>
    <w:lvl w:ilvl="0" w:tplc="D332AB20">
      <w:start w:val="1"/>
      <w:numFmt w:val="bullet"/>
      <w:lvlText w:val="-"/>
      <w:lvlJc w:val="left"/>
      <w:pPr>
        <w:tabs>
          <w:tab w:val="num" w:pos="1440"/>
        </w:tabs>
        <w:ind w:left="144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335A343A"/>
    <w:multiLevelType w:val="hybridMultilevel"/>
    <w:tmpl w:val="308A7AEA"/>
    <w:lvl w:ilvl="0" w:tplc="695C8552">
      <w:numFmt w:val="bullet"/>
      <w:lvlText w:val="-"/>
      <w:lvlJc w:val="left"/>
      <w:pPr>
        <w:tabs>
          <w:tab w:val="num" w:pos="720"/>
        </w:tabs>
        <w:ind w:left="720" w:hanging="360"/>
      </w:pPr>
      <w:rPr>
        <w:rFonts w:ascii="Arial Narrow" w:eastAsia="Arial Unicode MS" w:hAnsi="Arial Narrow"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349F6D21"/>
    <w:multiLevelType w:val="hybridMultilevel"/>
    <w:tmpl w:val="15E8BF74"/>
    <w:lvl w:ilvl="0" w:tplc="F63AB526">
      <w:numFmt w:val="bullet"/>
      <w:lvlText w:val="-"/>
      <w:lvlJc w:val="left"/>
      <w:pPr>
        <w:tabs>
          <w:tab w:val="num" w:pos="720"/>
        </w:tabs>
        <w:ind w:left="720" w:hanging="360"/>
      </w:pPr>
      <w:rPr>
        <w:rFonts w:ascii="Arial Narrow" w:eastAsia="Arial Unicode MS" w:hAnsi="Arial Narrow"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42E81154"/>
    <w:multiLevelType w:val="hybridMultilevel"/>
    <w:tmpl w:val="E2F2FD22"/>
    <w:lvl w:ilvl="0" w:tplc="785014A2">
      <w:start w:val="1"/>
      <w:numFmt w:val="bullet"/>
      <w:lvlText w:val="-"/>
      <w:lvlJc w:val="left"/>
      <w:pPr>
        <w:tabs>
          <w:tab w:val="num" w:pos="360"/>
        </w:tabs>
        <w:ind w:left="360" w:hanging="360"/>
      </w:pPr>
      <w:rPr>
        <w:rFont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48F77EA1"/>
    <w:multiLevelType w:val="hybridMultilevel"/>
    <w:tmpl w:val="7CFAF2DE"/>
    <w:lvl w:ilvl="0" w:tplc="8CE0106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61933A3"/>
    <w:multiLevelType w:val="hybridMultilevel"/>
    <w:tmpl w:val="84F66D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CC716FB"/>
    <w:multiLevelType w:val="hybridMultilevel"/>
    <w:tmpl w:val="92347712"/>
    <w:lvl w:ilvl="0" w:tplc="785014A2">
      <w:start w:val="1"/>
      <w:numFmt w:val="bullet"/>
      <w:lvlText w:val="-"/>
      <w:lvlJc w:val="left"/>
      <w:pPr>
        <w:tabs>
          <w:tab w:val="num" w:pos="360"/>
        </w:tabs>
        <w:ind w:left="284" w:hanging="284"/>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76FD2ABC"/>
    <w:multiLevelType w:val="hybridMultilevel"/>
    <w:tmpl w:val="9CC6C592"/>
    <w:lvl w:ilvl="0" w:tplc="D95C30B6">
      <w:numFmt w:val="bullet"/>
      <w:lvlText w:val="-"/>
      <w:lvlJc w:val="left"/>
      <w:pPr>
        <w:tabs>
          <w:tab w:val="num" w:pos="720"/>
        </w:tabs>
        <w:ind w:left="720" w:hanging="360"/>
      </w:pPr>
      <w:rPr>
        <w:rFonts w:ascii="Times New Roman" w:eastAsia="Arial Unicode MS" w:hAnsi="Times New Roman" w:cs="Times New Roman" w:hint="default"/>
        <w:u w:val="none"/>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796E4D75"/>
    <w:multiLevelType w:val="hybridMultilevel"/>
    <w:tmpl w:val="98F09F60"/>
    <w:lvl w:ilvl="0" w:tplc="040C0003">
      <w:start w:val="1"/>
      <w:numFmt w:val="bullet"/>
      <w:lvlText w:val="o"/>
      <w:lvlJc w:val="left"/>
      <w:pPr>
        <w:tabs>
          <w:tab w:val="num" w:pos="1050"/>
        </w:tabs>
        <w:ind w:left="1050" w:hanging="360"/>
      </w:pPr>
      <w:rPr>
        <w:rFonts w:ascii="Courier New" w:hAnsi="Courier New" w:hint="default"/>
      </w:rPr>
    </w:lvl>
    <w:lvl w:ilvl="1" w:tplc="040C0003" w:tentative="1">
      <w:start w:val="1"/>
      <w:numFmt w:val="bullet"/>
      <w:lvlText w:val="o"/>
      <w:lvlJc w:val="left"/>
      <w:pPr>
        <w:tabs>
          <w:tab w:val="num" w:pos="1770"/>
        </w:tabs>
        <w:ind w:left="1770" w:hanging="360"/>
      </w:pPr>
      <w:rPr>
        <w:rFonts w:ascii="Courier New" w:hAnsi="Courier New" w:hint="default"/>
      </w:rPr>
    </w:lvl>
    <w:lvl w:ilvl="2" w:tplc="040C0005" w:tentative="1">
      <w:start w:val="1"/>
      <w:numFmt w:val="bullet"/>
      <w:lvlText w:val=""/>
      <w:lvlJc w:val="left"/>
      <w:pPr>
        <w:tabs>
          <w:tab w:val="num" w:pos="2490"/>
        </w:tabs>
        <w:ind w:left="2490" w:hanging="360"/>
      </w:pPr>
      <w:rPr>
        <w:rFonts w:ascii="Wingdings" w:hAnsi="Wingdings" w:hint="default"/>
      </w:rPr>
    </w:lvl>
    <w:lvl w:ilvl="3" w:tplc="040C0001" w:tentative="1">
      <w:start w:val="1"/>
      <w:numFmt w:val="bullet"/>
      <w:lvlText w:val=""/>
      <w:lvlJc w:val="left"/>
      <w:pPr>
        <w:tabs>
          <w:tab w:val="num" w:pos="3210"/>
        </w:tabs>
        <w:ind w:left="3210" w:hanging="360"/>
      </w:pPr>
      <w:rPr>
        <w:rFonts w:ascii="Symbol" w:hAnsi="Symbol" w:hint="default"/>
      </w:rPr>
    </w:lvl>
    <w:lvl w:ilvl="4" w:tplc="040C0003" w:tentative="1">
      <w:start w:val="1"/>
      <w:numFmt w:val="bullet"/>
      <w:lvlText w:val="o"/>
      <w:lvlJc w:val="left"/>
      <w:pPr>
        <w:tabs>
          <w:tab w:val="num" w:pos="3930"/>
        </w:tabs>
        <w:ind w:left="3930" w:hanging="360"/>
      </w:pPr>
      <w:rPr>
        <w:rFonts w:ascii="Courier New" w:hAnsi="Courier New" w:hint="default"/>
      </w:rPr>
    </w:lvl>
    <w:lvl w:ilvl="5" w:tplc="040C0005" w:tentative="1">
      <w:start w:val="1"/>
      <w:numFmt w:val="bullet"/>
      <w:lvlText w:val=""/>
      <w:lvlJc w:val="left"/>
      <w:pPr>
        <w:tabs>
          <w:tab w:val="num" w:pos="4650"/>
        </w:tabs>
        <w:ind w:left="4650" w:hanging="360"/>
      </w:pPr>
      <w:rPr>
        <w:rFonts w:ascii="Wingdings" w:hAnsi="Wingdings" w:hint="default"/>
      </w:rPr>
    </w:lvl>
    <w:lvl w:ilvl="6" w:tplc="040C0001" w:tentative="1">
      <w:start w:val="1"/>
      <w:numFmt w:val="bullet"/>
      <w:lvlText w:val=""/>
      <w:lvlJc w:val="left"/>
      <w:pPr>
        <w:tabs>
          <w:tab w:val="num" w:pos="5370"/>
        </w:tabs>
        <w:ind w:left="5370" w:hanging="360"/>
      </w:pPr>
      <w:rPr>
        <w:rFonts w:ascii="Symbol" w:hAnsi="Symbol" w:hint="default"/>
      </w:rPr>
    </w:lvl>
    <w:lvl w:ilvl="7" w:tplc="040C0003" w:tentative="1">
      <w:start w:val="1"/>
      <w:numFmt w:val="bullet"/>
      <w:lvlText w:val="o"/>
      <w:lvlJc w:val="left"/>
      <w:pPr>
        <w:tabs>
          <w:tab w:val="num" w:pos="6090"/>
        </w:tabs>
        <w:ind w:left="6090" w:hanging="360"/>
      </w:pPr>
      <w:rPr>
        <w:rFonts w:ascii="Courier New" w:hAnsi="Courier New" w:hint="default"/>
      </w:rPr>
    </w:lvl>
    <w:lvl w:ilvl="8" w:tplc="040C0005" w:tentative="1">
      <w:start w:val="1"/>
      <w:numFmt w:val="bullet"/>
      <w:lvlText w:val=""/>
      <w:lvlJc w:val="left"/>
      <w:pPr>
        <w:tabs>
          <w:tab w:val="num" w:pos="6810"/>
        </w:tabs>
        <w:ind w:left="6810" w:hanging="360"/>
      </w:pPr>
      <w:rPr>
        <w:rFonts w:ascii="Wingdings" w:hAnsi="Wingdings" w:hint="default"/>
      </w:rPr>
    </w:lvl>
  </w:abstractNum>
  <w:num w:numId="1">
    <w:abstractNumId w:val="2"/>
  </w:num>
  <w:num w:numId="2">
    <w:abstractNumId w:val="10"/>
  </w:num>
  <w:num w:numId="3">
    <w:abstractNumId w:val="11"/>
  </w:num>
  <w:num w:numId="4">
    <w:abstractNumId w:val="1"/>
  </w:num>
  <w:num w:numId="5">
    <w:abstractNumId w:val="6"/>
  </w:num>
  <w:num w:numId="6">
    <w:abstractNumId w:val="3"/>
  </w:num>
  <w:num w:numId="7">
    <w:abstractNumId w:val="5"/>
  </w:num>
  <w:num w:numId="8">
    <w:abstractNumId w:val="9"/>
  </w:num>
  <w:num w:numId="9">
    <w:abstractNumId w:val="4"/>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9" w:dllVersion="512" w:checkStyle="1"/>
  <w:attachedTemplate r:id="rId1"/>
  <w:defaultTabStop w:val="708"/>
  <w:hyphenationZone w:val="425"/>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E12"/>
    <w:rsid w:val="000038BC"/>
    <w:rsid w:val="00011901"/>
    <w:rsid w:val="0001311D"/>
    <w:rsid w:val="00015339"/>
    <w:rsid w:val="00017878"/>
    <w:rsid w:val="00037E6E"/>
    <w:rsid w:val="00065DF7"/>
    <w:rsid w:val="0008107E"/>
    <w:rsid w:val="000A7280"/>
    <w:rsid w:val="000C492F"/>
    <w:rsid w:val="000E3331"/>
    <w:rsid w:val="000F6E75"/>
    <w:rsid w:val="001058A8"/>
    <w:rsid w:val="00115818"/>
    <w:rsid w:val="0013078B"/>
    <w:rsid w:val="00136023"/>
    <w:rsid w:val="0015238F"/>
    <w:rsid w:val="00153D6A"/>
    <w:rsid w:val="00161959"/>
    <w:rsid w:val="001665FC"/>
    <w:rsid w:val="001821B5"/>
    <w:rsid w:val="0018567A"/>
    <w:rsid w:val="00187301"/>
    <w:rsid w:val="001966FE"/>
    <w:rsid w:val="001B0343"/>
    <w:rsid w:val="001B56F8"/>
    <w:rsid w:val="001B680A"/>
    <w:rsid w:val="001C1FB3"/>
    <w:rsid w:val="001E2963"/>
    <w:rsid w:val="0020446C"/>
    <w:rsid w:val="00206BB3"/>
    <w:rsid w:val="002709DF"/>
    <w:rsid w:val="00280AD8"/>
    <w:rsid w:val="002A6218"/>
    <w:rsid w:val="002A792C"/>
    <w:rsid w:val="002A79C2"/>
    <w:rsid w:val="002B63D8"/>
    <w:rsid w:val="002D1266"/>
    <w:rsid w:val="002E39AD"/>
    <w:rsid w:val="00300A6B"/>
    <w:rsid w:val="00326E9F"/>
    <w:rsid w:val="003549BB"/>
    <w:rsid w:val="003868C6"/>
    <w:rsid w:val="003A5C82"/>
    <w:rsid w:val="003A78DE"/>
    <w:rsid w:val="003E5780"/>
    <w:rsid w:val="003F048E"/>
    <w:rsid w:val="003F7E12"/>
    <w:rsid w:val="0040728B"/>
    <w:rsid w:val="0043237E"/>
    <w:rsid w:val="00443164"/>
    <w:rsid w:val="004733A0"/>
    <w:rsid w:val="004842E6"/>
    <w:rsid w:val="00495120"/>
    <w:rsid w:val="004A3976"/>
    <w:rsid w:val="004C2D23"/>
    <w:rsid w:val="004E28AE"/>
    <w:rsid w:val="00522533"/>
    <w:rsid w:val="00542E8C"/>
    <w:rsid w:val="00554F80"/>
    <w:rsid w:val="00560672"/>
    <w:rsid w:val="00563E5C"/>
    <w:rsid w:val="00575D82"/>
    <w:rsid w:val="005760C5"/>
    <w:rsid w:val="0059696B"/>
    <w:rsid w:val="005A1AB7"/>
    <w:rsid w:val="005A2882"/>
    <w:rsid w:val="005A3881"/>
    <w:rsid w:val="005B393D"/>
    <w:rsid w:val="005D4324"/>
    <w:rsid w:val="005D4FC8"/>
    <w:rsid w:val="005E065F"/>
    <w:rsid w:val="00601E04"/>
    <w:rsid w:val="006165CB"/>
    <w:rsid w:val="00634117"/>
    <w:rsid w:val="006521E2"/>
    <w:rsid w:val="006810E0"/>
    <w:rsid w:val="006975A1"/>
    <w:rsid w:val="006A72EE"/>
    <w:rsid w:val="006E2E8B"/>
    <w:rsid w:val="006F797A"/>
    <w:rsid w:val="006F79EE"/>
    <w:rsid w:val="00701E50"/>
    <w:rsid w:val="00727AD7"/>
    <w:rsid w:val="00731365"/>
    <w:rsid w:val="00732609"/>
    <w:rsid w:val="00744AB7"/>
    <w:rsid w:val="007729CA"/>
    <w:rsid w:val="0077623E"/>
    <w:rsid w:val="007C249D"/>
    <w:rsid w:val="007D0D2A"/>
    <w:rsid w:val="007E2703"/>
    <w:rsid w:val="007F4E8F"/>
    <w:rsid w:val="008058E8"/>
    <w:rsid w:val="00807035"/>
    <w:rsid w:val="00812D2A"/>
    <w:rsid w:val="00813FB0"/>
    <w:rsid w:val="00815678"/>
    <w:rsid w:val="00824E7C"/>
    <w:rsid w:val="00836D9C"/>
    <w:rsid w:val="00854640"/>
    <w:rsid w:val="00860FB9"/>
    <w:rsid w:val="00871B2E"/>
    <w:rsid w:val="008753C6"/>
    <w:rsid w:val="00895720"/>
    <w:rsid w:val="008B0020"/>
    <w:rsid w:val="008E6485"/>
    <w:rsid w:val="008F74EE"/>
    <w:rsid w:val="00915954"/>
    <w:rsid w:val="0091787B"/>
    <w:rsid w:val="00925540"/>
    <w:rsid w:val="009423D5"/>
    <w:rsid w:val="00965F41"/>
    <w:rsid w:val="00972763"/>
    <w:rsid w:val="009948B3"/>
    <w:rsid w:val="0099678F"/>
    <w:rsid w:val="009D4155"/>
    <w:rsid w:val="009E1768"/>
    <w:rsid w:val="009F2EEB"/>
    <w:rsid w:val="009F4312"/>
    <w:rsid w:val="00A02882"/>
    <w:rsid w:val="00A13860"/>
    <w:rsid w:val="00A244B4"/>
    <w:rsid w:val="00A262FD"/>
    <w:rsid w:val="00A37921"/>
    <w:rsid w:val="00A63C39"/>
    <w:rsid w:val="00A7314F"/>
    <w:rsid w:val="00A95E55"/>
    <w:rsid w:val="00AA7EE4"/>
    <w:rsid w:val="00B0218D"/>
    <w:rsid w:val="00B37065"/>
    <w:rsid w:val="00B41685"/>
    <w:rsid w:val="00B622D1"/>
    <w:rsid w:val="00B73B8E"/>
    <w:rsid w:val="00B82065"/>
    <w:rsid w:val="00BA680F"/>
    <w:rsid w:val="00BA6FFA"/>
    <w:rsid w:val="00BA70FF"/>
    <w:rsid w:val="00BC1C9C"/>
    <w:rsid w:val="00BC2F51"/>
    <w:rsid w:val="00BC612F"/>
    <w:rsid w:val="00BE4A87"/>
    <w:rsid w:val="00BE756A"/>
    <w:rsid w:val="00BF29CA"/>
    <w:rsid w:val="00BF3E5C"/>
    <w:rsid w:val="00C32280"/>
    <w:rsid w:val="00C52F0C"/>
    <w:rsid w:val="00C555B6"/>
    <w:rsid w:val="00C700BC"/>
    <w:rsid w:val="00C81FD0"/>
    <w:rsid w:val="00C95C8A"/>
    <w:rsid w:val="00CB014B"/>
    <w:rsid w:val="00CD63FF"/>
    <w:rsid w:val="00CE3C67"/>
    <w:rsid w:val="00D03F5F"/>
    <w:rsid w:val="00D564F1"/>
    <w:rsid w:val="00D71912"/>
    <w:rsid w:val="00D720CF"/>
    <w:rsid w:val="00D7386A"/>
    <w:rsid w:val="00D8002A"/>
    <w:rsid w:val="00D84188"/>
    <w:rsid w:val="00DB0052"/>
    <w:rsid w:val="00DB2740"/>
    <w:rsid w:val="00DB5231"/>
    <w:rsid w:val="00DB7D30"/>
    <w:rsid w:val="00DC1ABF"/>
    <w:rsid w:val="00DC6497"/>
    <w:rsid w:val="00DD2F75"/>
    <w:rsid w:val="00DF096F"/>
    <w:rsid w:val="00DF154B"/>
    <w:rsid w:val="00E16432"/>
    <w:rsid w:val="00E30B65"/>
    <w:rsid w:val="00E42466"/>
    <w:rsid w:val="00E655A8"/>
    <w:rsid w:val="00E70361"/>
    <w:rsid w:val="00E76AAF"/>
    <w:rsid w:val="00E77944"/>
    <w:rsid w:val="00E967B8"/>
    <w:rsid w:val="00EA7D91"/>
    <w:rsid w:val="00EB6A5F"/>
    <w:rsid w:val="00EE1BEC"/>
    <w:rsid w:val="00F33372"/>
    <w:rsid w:val="00F66E1F"/>
    <w:rsid w:val="00F83D7C"/>
    <w:rsid w:val="00FD7C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rPr>
      <w:noProof w:val="0"/>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styleId="Paragraphedeliste">
    <w:name w:val="List Paragraph"/>
    <w:basedOn w:val="Normal"/>
    <w:uiPriority w:val="34"/>
    <w:qFormat/>
    <w:rsid w:val="001C1FB3"/>
    <w:pPr>
      <w:ind w:left="708"/>
    </w:pPr>
  </w:style>
  <w:style w:type="paragraph" w:styleId="Textedebulles">
    <w:name w:val="Balloon Text"/>
    <w:basedOn w:val="Normal"/>
    <w:link w:val="TextedebullesCar"/>
    <w:uiPriority w:val="99"/>
    <w:semiHidden/>
    <w:unhideWhenUsed/>
    <w:rsid w:val="006975A1"/>
    <w:rPr>
      <w:rFonts w:ascii="Tahoma" w:hAnsi="Tahoma" w:cs="Tahoma"/>
      <w:sz w:val="16"/>
      <w:szCs w:val="16"/>
    </w:rPr>
  </w:style>
  <w:style w:type="character" w:customStyle="1" w:styleId="TextedebullesCar">
    <w:name w:val="Texte de bulles Car"/>
    <w:basedOn w:val="Policepardfaut"/>
    <w:link w:val="Textedebulles"/>
    <w:uiPriority w:val="99"/>
    <w:semiHidden/>
    <w:rsid w:val="006975A1"/>
    <w:rPr>
      <w:rFonts w:ascii="Tahoma" w:hAnsi="Tahoma" w:cs="Tahoma"/>
      <w:sz w:val="16"/>
      <w:szCs w:val="16"/>
    </w:rPr>
  </w:style>
  <w:style w:type="character" w:styleId="Marquedecommentaire">
    <w:name w:val="annotation reference"/>
    <w:basedOn w:val="Policepardfaut"/>
    <w:uiPriority w:val="99"/>
    <w:semiHidden/>
    <w:unhideWhenUsed/>
    <w:rsid w:val="00E76AAF"/>
    <w:rPr>
      <w:sz w:val="16"/>
      <w:szCs w:val="16"/>
    </w:rPr>
  </w:style>
  <w:style w:type="paragraph" w:styleId="Commentaire">
    <w:name w:val="annotation text"/>
    <w:basedOn w:val="Normal"/>
    <w:link w:val="CommentaireCar"/>
    <w:uiPriority w:val="99"/>
    <w:semiHidden/>
    <w:unhideWhenUsed/>
    <w:rsid w:val="00E76AAF"/>
    <w:rPr>
      <w:sz w:val="20"/>
      <w:szCs w:val="20"/>
    </w:rPr>
  </w:style>
  <w:style w:type="character" w:customStyle="1" w:styleId="CommentaireCar">
    <w:name w:val="Commentaire Car"/>
    <w:basedOn w:val="Policepardfaut"/>
    <w:link w:val="Commentaire"/>
    <w:uiPriority w:val="99"/>
    <w:semiHidden/>
    <w:rsid w:val="00E76AAF"/>
  </w:style>
  <w:style w:type="paragraph" w:styleId="Objetducommentaire">
    <w:name w:val="annotation subject"/>
    <w:basedOn w:val="Commentaire"/>
    <w:next w:val="Commentaire"/>
    <w:link w:val="ObjetducommentaireCar"/>
    <w:uiPriority w:val="99"/>
    <w:semiHidden/>
    <w:unhideWhenUsed/>
    <w:rsid w:val="00E76AAF"/>
    <w:rPr>
      <w:b/>
      <w:bCs/>
    </w:rPr>
  </w:style>
  <w:style w:type="character" w:customStyle="1" w:styleId="ObjetducommentaireCar">
    <w:name w:val="Objet du commentaire Car"/>
    <w:basedOn w:val="CommentaireCar"/>
    <w:link w:val="Objetducommentaire"/>
    <w:uiPriority w:val="99"/>
    <w:semiHidden/>
    <w:rsid w:val="00E76AAF"/>
    <w:rPr>
      <w:b/>
      <w:bCs/>
    </w:rPr>
  </w:style>
  <w:style w:type="paragraph" w:styleId="Corpsdetexte">
    <w:name w:val="Body Text"/>
    <w:basedOn w:val="Normal"/>
    <w:link w:val="CorpsdetexteCar"/>
    <w:rsid w:val="00136023"/>
    <w:pPr>
      <w:ind w:right="48"/>
      <w:jc w:val="both"/>
    </w:pPr>
    <w:rPr>
      <w:rFonts w:ascii="Arial Narrow" w:hAnsi="Arial Narrow"/>
      <w:sz w:val="22"/>
      <w:szCs w:val="20"/>
    </w:rPr>
  </w:style>
  <w:style w:type="character" w:customStyle="1" w:styleId="CorpsdetexteCar">
    <w:name w:val="Corps de texte Car"/>
    <w:basedOn w:val="Policepardfaut"/>
    <w:link w:val="Corpsdetexte"/>
    <w:rsid w:val="00136023"/>
    <w:rPr>
      <w:rFonts w:ascii="Arial Narrow" w:hAnsi="Arial Narrow"/>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rPr>
      <w:noProof w:val="0"/>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styleId="Paragraphedeliste">
    <w:name w:val="List Paragraph"/>
    <w:basedOn w:val="Normal"/>
    <w:uiPriority w:val="34"/>
    <w:qFormat/>
    <w:rsid w:val="001C1FB3"/>
    <w:pPr>
      <w:ind w:left="708"/>
    </w:pPr>
  </w:style>
  <w:style w:type="paragraph" w:styleId="Textedebulles">
    <w:name w:val="Balloon Text"/>
    <w:basedOn w:val="Normal"/>
    <w:link w:val="TextedebullesCar"/>
    <w:uiPriority w:val="99"/>
    <w:semiHidden/>
    <w:unhideWhenUsed/>
    <w:rsid w:val="006975A1"/>
    <w:rPr>
      <w:rFonts w:ascii="Tahoma" w:hAnsi="Tahoma" w:cs="Tahoma"/>
      <w:sz w:val="16"/>
      <w:szCs w:val="16"/>
    </w:rPr>
  </w:style>
  <w:style w:type="character" w:customStyle="1" w:styleId="TextedebullesCar">
    <w:name w:val="Texte de bulles Car"/>
    <w:basedOn w:val="Policepardfaut"/>
    <w:link w:val="Textedebulles"/>
    <w:uiPriority w:val="99"/>
    <w:semiHidden/>
    <w:rsid w:val="006975A1"/>
    <w:rPr>
      <w:rFonts w:ascii="Tahoma" w:hAnsi="Tahoma" w:cs="Tahoma"/>
      <w:sz w:val="16"/>
      <w:szCs w:val="16"/>
    </w:rPr>
  </w:style>
  <w:style w:type="character" w:styleId="Marquedecommentaire">
    <w:name w:val="annotation reference"/>
    <w:basedOn w:val="Policepardfaut"/>
    <w:uiPriority w:val="99"/>
    <w:semiHidden/>
    <w:unhideWhenUsed/>
    <w:rsid w:val="00E76AAF"/>
    <w:rPr>
      <w:sz w:val="16"/>
      <w:szCs w:val="16"/>
    </w:rPr>
  </w:style>
  <w:style w:type="paragraph" w:styleId="Commentaire">
    <w:name w:val="annotation text"/>
    <w:basedOn w:val="Normal"/>
    <w:link w:val="CommentaireCar"/>
    <w:uiPriority w:val="99"/>
    <w:semiHidden/>
    <w:unhideWhenUsed/>
    <w:rsid w:val="00E76AAF"/>
    <w:rPr>
      <w:sz w:val="20"/>
      <w:szCs w:val="20"/>
    </w:rPr>
  </w:style>
  <w:style w:type="character" w:customStyle="1" w:styleId="CommentaireCar">
    <w:name w:val="Commentaire Car"/>
    <w:basedOn w:val="Policepardfaut"/>
    <w:link w:val="Commentaire"/>
    <w:uiPriority w:val="99"/>
    <w:semiHidden/>
    <w:rsid w:val="00E76AAF"/>
  </w:style>
  <w:style w:type="paragraph" w:styleId="Objetducommentaire">
    <w:name w:val="annotation subject"/>
    <w:basedOn w:val="Commentaire"/>
    <w:next w:val="Commentaire"/>
    <w:link w:val="ObjetducommentaireCar"/>
    <w:uiPriority w:val="99"/>
    <w:semiHidden/>
    <w:unhideWhenUsed/>
    <w:rsid w:val="00E76AAF"/>
    <w:rPr>
      <w:b/>
      <w:bCs/>
    </w:rPr>
  </w:style>
  <w:style w:type="character" w:customStyle="1" w:styleId="ObjetducommentaireCar">
    <w:name w:val="Objet du commentaire Car"/>
    <w:basedOn w:val="CommentaireCar"/>
    <w:link w:val="Objetducommentaire"/>
    <w:uiPriority w:val="99"/>
    <w:semiHidden/>
    <w:rsid w:val="00E76AAF"/>
    <w:rPr>
      <w:b/>
      <w:bCs/>
    </w:rPr>
  </w:style>
  <w:style w:type="paragraph" w:styleId="Corpsdetexte">
    <w:name w:val="Body Text"/>
    <w:basedOn w:val="Normal"/>
    <w:link w:val="CorpsdetexteCar"/>
    <w:rsid w:val="00136023"/>
    <w:pPr>
      <w:ind w:right="48"/>
      <w:jc w:val="both"/>
    </w:pPr>
    <w:rPr>
      <w:rFonts w:ascii="Arial Narrow" w:hAnsi="Arial Narrow"/>
      <w:sz w:val="22"/>
      <w:szCs w:val="20"/>
    </w:rPr>
  </w:style>
  <w:style w:type="character" w:customStyle="1" w:styleId="CorpsdetexteCar">
    <w:name w:val="Corps de texte Car"/>
    <w:basedOn w:val="Policepardfaut"/>
    <w:link w:val="Corpsdetexte"/>
    <w:rsid w:val="00136023"/>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803D6-D9F0-4697-9D9E-33F580A1A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Bureau.dot</Template>
  <TotalTime>16</TotalTime>
  <Pages>5</Pages>
  <Words>2222</Words>
  <Characters>10906</Characters>
  <Application>Microsoft Office Word</Application>
  <DocSecurity>0</DocSecurity>
  <Lines>90</Lines>
  <Paragraphs>26</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13102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Raut-ML</dc:creator>
  <cp:lastModifiedBy>JULES-TARDIVELLE Nadine</cp:lastModifiedBy>
  <cp:revision>15</cp:revision>
  <cp:lastPrinted>2021-03-17T10:00:00Z</cp:lastPrinted>
  <dcterms:created xsi:type="dcterms:W3CDTF">2021-02-08T14:38:00Z</dcterms:created>
  <dcterms:modified xsi:type="dcterms:W3CDTF">2021-03-17T10:00:00Z</dcterms:modified>
</cp:coreProperties>
</file>