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8663EF" w:rsidRDefault="00702A33" w:rsidP="00702A33">
      <w:pPr>
        <w:pStyle w:val="Titrerappport"/>
        <w:tabs>
          <w:tab w:val="left" w:pos="1276"/>
        </w:tabs>
        <w:jc w:val="both"/>
        <w:rPr>
          <w:sz w:val="48"/>
          <w:szCs w:val="48"/>
        </w:rPr>
      </w:pPr>
      <w:r>
        <w:rPr>
          <w:noProof/>
          <w:color w:val="000000"/>
          <w:sz w:val="20"/>
        </w:rPr>
        <mc:AlternateContent>
          <mc:Choice Requires="wps">
            <w:drawing>
              <wp:anchor distT="0" distB="0" distL="114300" distR="114300" simplePos="0" relativeHeight="251659264" behindDoc="0" locked="0" layoutInCell="1" allowOverlap="1" wp14:anchorId="64860AC6" wp14:editId="055829DF">
                <wp:simplePos x="0" y="0"/>
                <wp:positionH relativeFrom="column">
                  <wp:posOffset>-80010</wp:posOffset>
                </wp:positionH>
                <wp:positionV relativeFrom="paragraph">
                  <wp:posOffset>-463550</wp:posOffset>
                </wp:positionV>
                <wp:extent cx="1828800" cy="43815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38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02A33" w:rsidRDefault="00702A33" w:rsidP="00702A33">
                            <w:pPr>
                              <w:pStyle w:val="InitialesRapporteur"/>
                            </w:pPr>
                            <w:r>
                              <w:t>PISU/DMT/SV</w:t>
                            </w:r>
                          </w:p>
                          <w:p w:rsidR="00702A33" w:rsidRDefault="00AD7DB9" w:rsidP="00702A33">
                            <w:pPr>
                              <w:pStyle w:val="InitialesRapporteur"/>
                            </w:pPr>
                            <w:r>
                              <w:t>Rapporteur : M.</w:t>
                            </w:r>
                            <w:r w:rsidR="00702A33">
                              <w:t xml:space="preserve"> </w:t>
                            </w:r>
                            <w:proofErr w:type="spellStart"/>
                            <w:r w:rsidR="00702A33">
                              <w:t>Theurier</w:t>
                            </w:r>
                            <w:proofErr w:type="spellEnd"/>
                          </w:p>
                          <w:p w:rsidR="00702A33" w:rsidRDefault="00702A33" w:rsidP="00702A33">
                            <w:pPr>
                              <w:pStyle w:val="InitialesRapporteur"/>
                            </w:pPr>
                          </w:p>
                          <w:p w:rsidR="00702A33" w:rsidRDefault="00702A33" w:rsidP="00702A33">
                            <w:pPr>
                              <w:pStyle w:val="InitialesRapporteu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6.3pt;margin-top:-36.5pt;width:2in;height: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" stroked="f">
                <v:textbox>
                  <w:txbxContent>
                    <w:p w:rsidR="00702A33" w:rsidRDefault="00702A33" w:rsidP="00702A33">
                      <w:pPr>
                        <w:pStyle w:val="InitialesRapporteur"/>
                      </w:pPr>
                      <w:r>
                        <w:t>PISU/DMT/SV</w:t>
                      </w:r>
                    </w:p>
                    <w:p w:rsidR="00702A33" w:rsidRDefault="00AD7DB9" w:rsidP="00702A33">
                      <w:pPr>
                        <w:pStyle w:val="InitialesRapporteur"/>
                      </w:pPr>
                      <w:r>
                        <w:t>Rapporteur : M.</w:t>
                      </w:r>
                      <w:r w:rsidR="00702A33">
                        <w:t xml:space="preserve"> Theurier</w:t>
                      </w:r>
                    </w:p>
                    <w:p w:rsidR="00702A33" w:rsidRDefault="00702A33" w:rsidP="00702A33">
                      <w:pPr>
                        <w:pStyle w:val="InitialesRapporteur"/>
                      </w:pPr>
                    </w:p>
                    <w:p w:rsidR="00702A33" w:rsidRDefault="00702A33" w:rsidP="00702A33">
                      <w:pPr>
                        <w:pStyle w:val="InitialesRapporteur"/>
                      </w:pPr>
                    </w:p>
                  </w:txbxContent>
                </v:textbox>
              </v:shape>
            </w:pict>
          </mc:Fallback>
        </mc:AlternateContent>
      </w:r>
      <w:r w:rsidR="008663EF">
        <w:rPr>
          <w:sz w:val="48"/>
          <w:szCs w:val="48"/>
        </w:rPr>
        <w:t xml:space="preserve">N° </w:t>
      </w:r>
      <w:r w:rsidR="00627DEC">
        <w:rPr>
          <w:sz w:val="48"/>
          <w:szCs w:val="48"/>
        </w:rPr>
        <w:t>C 21.046</w:t>
      </w:r>
    </w:p>
    <w:p w:rsidR="00F32CF5" w:rsidRPr="001D37E2" w:rsidRDefault="00F32CF5" w:rsidP="00F32CF5">
      <w:pPr>
        <w:pStyle w:val="Titrerappport"/>
        <w:jc w:val="both"/>
      </w:pPr>
      <w:r w:rsidRPr="00B929F7">
        <w:rPr>
          <w:rFonts w:cs="Century Gothic"/>
          <w:color w:val="000000"/>
          <w:szCs w:val="32"/>
        </w:rPr>
        <w:t xml:space="preserve">Mobilité – </w:t>
      </w:r>
      <w:r w:rsidR="006E3615">
        <w:rPr>
          <w:rFonts w:cs="Century Gothic"/>
          <w:color w:val="000000"/>
          <w:szCs w:val="32"/>
        </w:rPr>
        <w:t>Schéma Directeur d'Agglomération de Gestion de Trafic de Rennes – Protocole d'intention</w:t>
      </w:r>
    </w:p>
    <w:p w:rsidR="00285281" w:rsidRDefault="00285281">
      <w:pPr>
        <w:pStyle w:val="Corpsdetexte"/>
        <w:jc w:val="both"/>
        <w:rPr>
          <w:iCs/>
        </w:rPr>
      </w:pPr>
    </w:p>
    <w:p w:rsidR="00640402" w:rsidRPr="00640402" w:rsidRDefault="00640402" w:rsidP="00640402">
      <w:pPr>
        <w:ind w:right="48"/>
        <w:jc w:val="center"/>
        <w:rPr>
          <w:sz w:val="20"/>
          <w:szCs w:val="20"/>
          <w:u w:val="single"/>
        </w:rPr>
      </w:pPr>
      <w:r w:rsidRPr="00640402">
        <w:rPr>
          <w:sz w:val="20"/>
          <w:szCs w:val="20"/>
          <w:u w:val="single"/>
        </w:rPr>
        <w:t>EXTRAIT DU REGISTRE DES DELIBERATIONS</w:t>
      </w:r>
    </w:p>
    <w:p w:rsidR="00640402" w:rsidRPr="00640402" w:rsidRDefault="00640402" w:rsidP="00640402">
      <w:pPr>
        <w:ind w:right="-94"/>
        <w:jc w:val="both"/>
        <w:rPr>
          <w:sz w:val="18"/>
          <w:szCs w:val="18"/>
        </w:rPr>
      </w:pPr>
    </w:p>
    <w:p w:rsidR="00640402" w:rsidRPr="00640402" w:rsidRDefault="00640402" w:rsidP="00640402">
      <w:pPr>
        <w:ind w:right="48"/>
        <w:jc w:val="both"/>
        <w:rPr>
          <w:sz w:val="18"/>
          <w:szCs w:val="18"/>
        </w:rPr>
      </w:pPr>
      <w:r w:rsidRPr="00640402">
        <w:rPr>
          <w:sz w:val="18"/>
          <w:szCs w:val="18"/>
        </w:rPr>
        <w:t>La séance est ouverte à 18h36.</w:t>
      </w:r>
    </w:p>
    <w:p w:rsidR="00640402" w:rsidRPr="00640402" w:rsidRDefault="00640402" w:rsidP="00640402">
      <w:pPr>
        <w:ind w:right="-94"/>
        <w:jc w:val="both"/>
        <w:rPr>
          <w:sz w:val="18"/>
          <w:szCs w:val="18"/>
        </w:rPr>
      </w:pPr>
    </w:p>
    <w:p w:rsidR="00640402" w:rsidRPr="00640402" w:rsidRDefault="00640402" w:rsidP="00640402">
      <w:pPr>
        <w:ind w:right="-94"/>
        <w:jc w:val="both"/>
        <w:rPr>
          <w:sz w:val="18"/>
          <w:szCs w:val="18"/>
        </w:rPr>
      </w:pPr>
      <w:r w:rsidRPr="00640402">
        <w:rPr>
          <w:b/>
          <w:sz w:val="18"/>
          <w:szCs w:val="18"/>
        </w:rPr>
        <w:t>Présents :</w:t>
      </w:r>
      <w:r w:rsidRPr="00640402">
        <w:rPr>
          <w:sz w:val="18"/>
          <w:szCs w:val="18"/>
        </w:rPr>
        <w:t xml:space="preserve"> 002 ANDRO Rozenn, 003 APPERE Nathalie, 004 ARMAND Régine, 006 BENTZ-FONTANEL Nathalie, 007 BESSERVE Laurence, 008 BETTAL Khalil, 014 BOULOUX Mickaël, 015 BRETEAU Pierre, 023 CHEVANCE Christophe, 024 CHOUAN André, 025 COCHAUD Yannick, 026 COMPAGNON Charles, 028 CROCQ André, 030 DAVID Claudine, 031 DEHAESE Olivier, 032 DEMOLDER Michel, 034 DEPOUEZ Hervé, 036 DUCAMIN Marie, 038 FAUCHEUX Valérie, 040 GALIC Sylvie, 041 GANDON Carole, 043 GOATER Jean-Marie, 045 GOMBERT Jean </w:t>
      </w:r>
      <w:proofErr w:type="spellStart"/>
      <w:r w:rsidRPr="00640402">
        <w:rPr>
          <w:sz w:val="18"/>
          <w:szCs w:val="18"/>
        </w:rPr>
        <w:t>Emile</w:t>
      </w:r>
      <w:proofErr w:type="spellEnd"/>
      <w:r w:rsidRPr="00640402">
        <w:rPr>
          <w:sz w:val="18"/>
          <w:szCs w:val="18"/>
        </w:rPr>
        <w:t xml:space="preserve">, 046 GUERET Sébastien, 049 HAMON Laurent, 050 HERVE Pascal, 051 HERVE Marc, 052 HOUSSIN René-François, 053 HUAUME Yann, 054 ID AHMED Zahra, 061 LE BIHAN Thierry, 063 LE FLOCH Anne, 065 LE GENTIL Morvan, 066 LEBOEUF Valérie, 067 LEFEUVRE Gaël, 068 LEGAGNEUR Jean-Marc, 069 LENORMAND Monique, 070 LOUAPRE Françoise, 071 MADIOT Morgane, 074 MONNIER Daniel, 077 MORVAN Franck, 078 NADESAN Yannick, 079 NOISETTE Nadège, 081 PARMENTIER Mélina, 082 PELLERIN Isabelle, 084 PINAULT Pascal, 086 POLLET Matthieu, 088 PRIZE Laurent, 090 PUIL Honoré, 093 ROUAULT Jean-Claude, 095 ROULLE Patrick, 096 ROUSSET Emmanuelle, 098 RUELLO Jacques, 099 SALMON Philippe, 100 SAVIGNAC Jean-Pierre, 101 SCHOUMACKER </w:t>
      </w:r>
      <w:proofErr w:type="spellStart"/>
      <w:r w:rsidRPr="00640402">
        <w:rPr>
          <w:sz w:val="18"/>
          <w:szCs w:val="18"/>
        </w:rPr>
        <w:t>Eve</w:t>
      </w:r>
      <w:proofErr w:type="spellEnd"/>
      <w:r w:rsidRPr="00640402">
        <w:rPr>
          <w:sz w:val="18"/>
          <w:szCs w:val="18"/>
        </w:rPr>
        <w:t>, 102 SEMERIL Sébastien, 103 SICOT Philippe, 106 THEBAULT Philippe, 107 THEURIER Matthieu, 110 VINCENT Sandrine, 111 YVANOFF Daniel, 112 ZAMORD Priscilla.</w:t>
      </w:r>
    </w:p>
    <w:p w:rsidR="00640402" w:rsidRPr="00640402" w:rsidRDefault="00640402" w:rsidP="00640402">
      <w:pPr>
        <w:ind w:right="-94"/>
        <w:jc w:val="both"/>
        <w:rPr>
          <w:sz w:val="18"/>
          <w:szCs w:val="18"/>
        </w:rPr>
      </w:pPr>
    </w:p>
    <w:p w:rsidR="00640402" w:rsidRPr="00640402" w:rsidRDefault="00640402" w:rsidP="00640402">
      <w:pPr>
        <w:ind w:right="-94"/>
        <w:jc w:val="both"/>
        <w:rPr>
          <w:sz w:val="18"/>
          <w:szCs w:val="18"/>
        </w:rPr>
      </w:pPr>
      <w:r w:rsidRPr="00640402">
        <w:rPr>
          <w:b/>
          <w:sz w:val="18"/>
          <w:szCs w:val="18"/>
        </w:rPr>
        <w:t>Ont donné procuration</w:t>
      </w:r>
      <w:r w:rsidRPr="00640402">
        <w:rPr>
          <w:sz w:val="18"/>
          <w:szCs w:val="18"/>
        </w:rPr>
        <w:t xml:space="preserve"> : 001 AFFILE Gwendoline (à 002 ANDRO Rozenn), 005 BECHET Annick (à 071 MADIOT Morgane), 009 BINARD Valérie (à 096 ROUSSET Emmanuelle), 010 BONNIN Philippe (à 006 BENTZ-FONTANEL Nathalie), 011 BOUCHER Nicolas (à 054 ID AHMED Zahra), 012 BOUCHONNET Iris (à 078 NADESAN Yannick), 013 BOUKHENOUFA Flavie (à 102 SEMERIL Sébastien), 016 BRIERO Lénaïc (à 003 APPERE Nathalie), 017 CAILLARD Michel (à 112 ZAMORD Priscilla), 018 CAREIL Benoît (à 038 FAUCHEUX Valérie), 019 CAROFF-URFER Sandrine (à 041 GANDON Carole), 020 CASACUBERTA PALMADA Montserrat (à 043 GOATER Jean-Marie), 021 CHAPELLON Didier (à 049 HAMON Laurent), 022 CHEVALIER Marion (à 099 SALMON Philippe), 027 CRESSARD Antoine (à 045 GOMBERT Jean </w:t>
      </w:r>
      <w:proofErr w:type="spellStart"/>
      <w:r w:rsidRPr="00640402">
        <w:rPr>
          <w:sz w:val="18"/>
          <w:szCs w:val="18"/>
        </w:rPr>
        <w:t>Emile</w:t>
      </w:r>
      <w:proofErr w:type="spellEnd"/>
      <w:r w:rsidRPr="00640402">
        <w:rPr>
          <w:sz w:val="18"/>
          <w:szCs w:val="18"/>
        </w:rPr>
        <w:t xml:space="preserve">), 029 DAUCE Henri (à 111 YVANOFF Daniel), 033 DENIAUD Marion (à 065 LE GENTIL Morvan), 035 DESMOTS Xavier (à 107 THEURIER Matthieu), 037 EON Pierre (à 100 SAVIGNAC Jean-Pierre), 039 FOUILLERE Christophe (à 102 SEMERIL Sébastien), 042 GAUTIER Nadine (à 093 ROUAULT Jean-Claude), 044 GOBAILLE Françoise (à 100 SAVIGNAC Jean-Pierre), 047 GUILLOTIN Daniel (à 082 PELLERIN Isabelle), 048 HAKNI-ROBIN Béatrice (à 096 ROUSSET Emmanuelle), 055 JEANVRAIN Mathieu (à 043 GOATER Jean-Marie), 056 JEHANNO Anaïs (à 026 COMPAGNON Charles), 058 KOCH Lucile (à 038 FAUCHEUX Valérie), 059 LABBE Stéphane (à 069 LENORMAND Monique), 060 LAHAIS Tristan (à 046 GUERET Sébastien), 062 LE BOUGEANT Didier (à 082 PELLERIN Isabelle), 064 LE GALL Josette (à 034 DEPOUEZ Hervé), 072 MAHEO Aude (à 067 LEFEUVRE Gaël), 073 MARIE </w:t>
      </w:r>
      <w:proofErr w:type="spellStart"/>
      <w:r w:rsidRPr="00640402">
        <w:rPr>
          <w:sz w:val="18"/>
          <w:szCs w:val="18"/>
        </w:rPr>
        <w:t>Anabel</w:t>
      </w:r>
      <w:proofErr w:type="spellEnd"/>
      <w:r w:rsidRPr="00640402">
        <w:rPr>
          <w:sz w:val="18"/>
          <w:szCs w:val="18"/>
        </w:rPr>
        <w:t xml:space="preserve"> (à 051 HERVE Marc), 075 MONNIER Jean-François (à 049 HAMON Laurent), 076 MOREL Cyrille (à 002 ANDRO Rozenn), 080 PAPILLION Cécile (à 112 ZAMORD Priscilla), 083 PETARD-VOISIN Chantal (à 014 BOULOUX Mickaël), 085 PINCHARD Jacques (à 079 NOISETTE Nadège), 087 PRIGENT Alain (à 067 LEFEUVRE Gaël), 089 PRONIER Valériane (à 046 GUERET Sébastien), 091 QUEMENER Aurélie (à 052 HOUSSIN René-François), 092 REMOISSENET Laetitia (à 015 BRETEAU Pierre), 094 ROUGIER Gaëlle (à 107 THEURIER Matthieu), 097 ROUX Catherine (à 031 DEHAESE Olivier), 104 SIMON Luc (à 036 DUCAMIN Marie), 105 STEPHAN Arnaud (à 032 DEMOLDER Michel), 108 TONON </w:t>
      </w:r>
      <w:proofErr w:type="spellStart"/>
      <w:r w:rsidRPr="00640402">
        <w:rPr>
          <w:sz w:val="18"/>
          <w:szCs w:val="18"/>
        </w:rPr>
        <w:t>Selene</w:t>
      </w:r>
      <w:proofErr w:type="spellEnd"/>
      <w:r w:rsidRPr="00640402">
        <w:rPr>
          <w:sz w:val="18"/>
          <w:szCs w:val="18"/>
        </w:rPr>
        <w:t xml:space="preserve"> (à 051 HERVE Marc), 109 TRAVERS David (à 003 APPERE Nathalie).</w:t>
      </w:r>
    </w:p>
    <w:p w:rsidR="00640402" w:rsidRPr="00640402" w:rsidRDefault="00640402" w:rsidP="00640402">
      <w:pPr>
        <w:ind w:right="-94"/>
        <w:jc w:val="both"/>
        <w:rPr>
          <w:sz w:val="18"/>
          <w:szCs w:val="18"/>
        </w:rPr>
      </w:pPr>
    </w:p>
    <w:p w:rsidR="00640402" w:rsidRPr="00640402" w:rsidRDefault="00640402" w:rsidP="00640402">
      <w:pPr>
        <w:ind w:right="-94"/>
        <w:jc w:val="both"/>
        <w:rPr>
          <w:sz w:val="18"/>
          <w:szCs w:val="18"/>
        </w:rPr>
      </w:pPr>
      <w:r w:rsidRPr="00640402">
        <w:rPr>
          <w:b/>
          <w:sz w:val="18"/>
          <w:szCs w:val="18"/>
        </w:rPr>
        <w:t xml:space="preserve">Absents/Excusés : </w:t>
      </w:r>
      <w:r w:rsidRPr="00640402">
        <w:rPr>
          <w:sz w:val="18"/>
          <w:szCs w:val="18"/>
        </w:rPr>
        <w:t>057 KERMARREC Alain.</w:t>
      </w:r>
    </w:p>
    <w:p w:rsidR="00640402" w:rsidRPr="00640402" w:rsidRDefault="00640402" w:rsidP="00640402">
      <w:pPr>
        <w:ind w:right="-94"/>
        <w:jc w:val="both"/>
        <w:rPr>
          <w:sz w:val="18"/>
          <w:szCs w:val="18"/>
        </w:rPr>
      </w:pPr>
    </w:p>
    <w:p w:rsidR="00640402" w:rsidRPr="00640402" w:rsidRDefault="00640402" w:rsidP="00640402">
      <w:pPr>
        <w:ind w:right="-94"/>
        <w:jc w:val="both"/>
        <w:rPr>
          <w:sz w:val="18"/>
          <w:szCs w:val="18"/>
        </w:rPr>
      </w:pPr>
      <w:r w:rsidRPr="00640402">
        <w:rPr>
          <w:sz w:val="18"/>
          <w:szCs w:val="18"/>
        </w:rPr>
        <w:t xml:space="preserve">M. </w:t>
      </w:r>
      <w:proofErr w:type="spellStart"/>
      <w:r w:rsidRPr="00640402">
        <w:rPr>
          <w:sz w:val="18"/>
          <w:szCs w:val="18"/>
        </w:rPr>
        <w:t>Nadesan</w:t>
      </w:r>
      <w:proofErr w:type="spellEnd"/>
      <w:r w:rsidRPr="00640402">
        <w:rPr>
          <w:sz w:val="18"/>
          <w:szCs w:val="18"/>
        </w:rPr>
        <w:t xml:space="preserve"> est nommé secrétaire de séance.</w:t>
      </w:r>
    </w:p>
    <w:p w:rsidR="00640402" w:rsidRPr="00640402" w:rsidRDefault="00640402" w:rsidP="00640402">
      <w:pPr>
        <w:ind w:right="-94"/>
        <w:jc w:val="both"/>
        <w:rPr>
          <w:sz w:val="18"/>
          <w:szCs w:val="18"/>
        </w:rPr>
      </w:pPr>
    </w:p>
    <w:p w:rsidR="00640402" w:rsidRPr="00640402" w:rsidRDefault="00640402" w:rsidP="00640402">
      <w:pPr>
        <w:pStyle w:val="Corpsdetexte"/>
        <w:ind w:right="-94"/>
        <w:rPr>
          <w:sz w:val="18"/>
          <w:szCs w:val="18"/>
        </w:rPr>
      </w:pPr>
      <w:r w:rsidRPr="00640402">
        <w:rPr>
          <w:sz w:val="18"/>
          <w:szCs w:val="18"/>
        </w:rPr>
        <w:t>Le Conseil constate que les dispositions législatives concernant la convocation (en date du 5 mars 2021) et la note explicative de synthèse sur les affaires soumises à délibération ont bien été remplies et le procès-verbal de la séance du 28 janvier 2021 est lu et adopté.</w:t>
      </w:r>
    </w:p>
    <w:p w:rsidR="00640402" w:rsidRPr="00640402" w:rsidRDefault="00640402" w:rsidP="00640402">
      <w:pPr>
        <w:pStyle w:val="Corpsdetexte"/>
        <w:ind w:right="-94"/>
        <w:rPr>
          <w:sz w:val="18"/>
          <w:szCs w:val="18"/>
        </w:rPr>
      </w:pPr>
    </w:p>
    <w:p w:rsidR="00640402" w:rsidRPr="00640402" w:rsidRDefault="00640402" w:rsidP="00640402">
      <w:pPr>
        <w:ind w:right="-94"/>
        <w:jc w:val="both"/>
        <w:rPr>
          <w:sz w:val="18"/>
          <w:szCs w:val="18"/>
        </w:rPr>
      </w:pPr>
      <w:r w:rsidRPr="00640402">
        <w:rPr>
          <w:sz w:val="18"/>
          <w:szCs w:val="18"/>
        </w:rPr>
        <w:t>La séance est levée à 21h01.</w:t>
      </w:r>
    </w:p>
    <w:p w:rsidR="00640402" w:rsidRPr="00640402" w:rsidRDefault="00640402">
      <w:pPr>
        <w:pStyle w:val="Corpsdetexte"/>
        <w:jc w:val="both"/>
        <w:rPr>
          <w:iCs/>
          <w:sz w:val="18"/>
          <w:szCs w:val="18"/>
        </w:rPr>
      </w:pPr>
    </w:p>
    <w:p w:rsidR="00627DEC" w:rsidRPr="00640402" w:rsidRDefault="00627DEC">
      <w:pPr>
        <w:rPr>
          <w:iCs/>
          <w:sz w:val="18"/>
          <w:szCs w:val="18"/>
        </w:rPr>
      </w:pPr>
      <w:r w:rsidRPr="00640402">
        <w:rPr>
          <w:iCs/>
          <w:sz w:val="18"/>
          <w:szCs w:val="18"/>
        </w:rPr>
        <w:br w:type="page"/>
      </w:r>
    </w:p>
    <w:p w:rsidR="00C30032" w:rsidRPr="00702A33" w:rsidRDefault="00C30032">
      <w:pPr>
        <w:pStyle w:val="Corpsdetexte"/>
        <w:jc w:val="both"/>
        <w:rPr>
          <w:iCs/>
        </w:rPr>
      </w:pPr>
    </w:p>
    <w:p w:rsidR="008663EF" w:rsidRPr="007C7E9E" w:rsidRDefault="00285281" w:rsidP="00702A33">
      <w:pPr>
        <w:pStyle w:val="Vu"/>
        <w:jc w:val="both"/>
        <w:rPr>
          <w:iCs w:val="0"/>
        </w:rPr>
      </w:pPr>
      <w:r w:rsidRPr="00054995">
        <w:rPr>
          <w:iCs w:val="0"/>
        </w:rPr>
        <w:t xml:space="preserve">Vu le Code Général des Collectivités </w:t>
      </w:r>
      <w:r w:rsidRPr="007C7E9E">
        <w:rPr>
          <w:iCs w:val="0"/>
        </w:rPr>
        <w:t>Territoriales</w:t>
      </w:r>
      <w:r w:rsidR="00F32CF5">
        <w:rPr>
          <w:iCs w:val="0"/>
        </w:rPr>
        <w:t xml:space="preserve"> </w:t>
      </w:r>
      <w:r w:rsidR="007C7E9E">
        <w:rPr>
          <w:iCs w:val="0"/>
        </w:rPr>
        <w:t>;</w:t>
      </w:r>
    </w:p>
    <w:p w:rsidR="008663EF" w:rsidRDefault="006E3615" w:rsidP="00702A33">
      <w:pPr>
        <w:pStyle w:val="Vu"/>
        <w:jc w:val="both"/>
        <w:rPr>
          <w:rFonts w:eastAsia="Times New Roman"/>
          <w:noProof w:val="0"/>
        </w:rPr>
      </w:pPr>
      <w:r>
        <w:rPr>
          <w:rFonts w:eastAsia="Times New Roman"/>
          <w:noProof w:val="0"/>
        </w:rPr>
        <w:t>Vu la loi n°</w:t>
      </w:r>
      <w:r w:rsidR="00702A33">
        <w:rPr>
          <w:rFonts w:eastAsia="Times New Roman"/>
          <w:noProof w:val="0"/>
        </w:rPr>
        <w:t xml:space="preserve"> </w:t>
      </w:r>
      <w:r w:rsidR="008663EF">
        <w:rPr>
          <w:rFonts w:eastAsia="Times New Roman"/>
          <w:noProof w:val="0"/>
        </w:rPr>
        <w:t>82-1153 du 30 décembre 1982 d'Orientation des Transports Intérieurs (LOTI) ;</w:t>
      </w:r>
    </w:p>
    <w:p w:rsidR="008663EF" w:rsidRDefault="006E3615" w:rsidP="00702A33">
      <w:pPr>
        <w:jc w:val="both"/>
        <w:rPr>
          <w:i/>
          <w:iCs/>
          <w:sz w:val="20"/>
        </w:rPr>
      </w:pPr>
      <w:r>
        <w:rPr>
          <w:i/>
          <w:iCs/>
          <w:sz w:val="20"/>
        </w:rPr>
        <w:t>Vu la loi n°</w:t>
      </w:r>
      <w:r w:rsidR="00702A33">
        <w:rPr>
          <w:i/>
          <w:iCs/>
          <w:sz w:val="20"/>
        </w:rPr>
        <w:t xml:space="preserve"> </w:t>
      </w:r>
      <w:r w:rsidR="008663EF">
        <w:rPr>
          <w:i/>
          <w:iCs/>
          <w:sz w:val="20"/>
        </w:rPr>
        <w:t>96-1236 du 30 décembre 1996 sur l'Air et l'Utilisation Rationnelle de l'</w:t>
      </w:r>
      <w:r w:rsidR="00702A33">
        <w:rPr>
          <w:i/>
          <w:iCs/>
          <w:sz w:val="20"/>
        </w:rPr>
        <w:t>Énergie</w:t>
      </w:r>
      <w:r w:rsidR="008663EF">
        <w:rPr>
          <w:i/>
          <w:iCs/>
          <w:sz w:val="20"/>
        </w:rPr>
        <w:t xml:space="preserve"> (LAURE) ;</w:t>
      </w:r>
    </w:p>
    <w:p w:rsidR="008663EF" w:rsidRDefault="006E3615" w:rsidP="00702A33">
      <w:pPr>
        <w:jc w:val="both"/>
        <w:rPr>
          <w:i/>
          <w:iCs/>
          <w:sz w:val="20"/>
        </w:rPr>
      </w:pPr>
      <w:r>
        <w:rPr>
          <w:i/>
          <w:iCs/>
          <w:sz w:val="20"/>
        </w:rPr>
        <w:t>Vu la loi n°</w:t>
      </w:r>
      <w:r w:rsidR="00702A33">
        <w:rPr>
          <w:i/>
          <w:iCs/>
          <w:sz w:val="20"/>
        </w:rPr>
        <w:t xml:space="preserve"> </w:t>
      </w:r>
      <w:r w:rsidR="008663EF">
        <w:rPr>
          <w:i/>
          <w:iCs/>
          <w:sz w:val="20"/>
        </w:rPr>
        <w:t>2000-1208 du 13 décembre 2000 relative à la Solidarité et au Renouvellement Urbain (SRU) ;</w:t>
      </w:r>
    </w:p>
    <w:p w:rsidR="0071070C" w:rsidRDefault="006E3615" w:rsidP="00702A33">
      <w:pPr>
        <w:jc w:val="both"/>
        <w:rPr>
          <w:i/>
          <w:iCs/>
          <w:sz w:val="20"/>
        </w:rPr>
      </w:pPr>
      <w:r>
        <w:rPr>
          <w:i/>
          <w:iCs/>
          <w:sz w:val="20"/>
        </w:rPr>
        <w:t>Vu la loi n°</w:t>
      </w:r>
      <w:r w:rsidR="00702A33">
        <w:rPr>
          <w:i/>
          <w:iCs/>
          <w:sz w:val="20"/>
        </w:rPr>
        <w:t xml:space="preserve"> </w:t>
      </w:r>
      <w:r w:rsidR="0071070C">
        <w:rPr>
          <w:i/>
          <w:iCs/>
          <w:sz w:val="20"/>
        </w:rPr>
        <w:t>2014-58 du 27 janvier 2014 de modernisation de l’action publique territoriale et d’affirmation des métropoles</w:t>
      </w:r>
      <w:r w:rsidR="00E579C0">
        <w:rPr>
          <w:i/>
          <w:iCs/>
          <w:sz w:val="20"/>
        </w:rPr>
        <w:t> ;</w:t>
      </w:r>
    </w:p>
    <w:p w:rsidR="006E3615" w:rsidRDefault="006E3615" w:rsidP="00702A33">
      <w:pPr>
        <w:jc w:val="both"/>
        <w:rPr>
          <w:i/>
          <w:iCs/>
          <w:sz w:val="20"/>
        </w:rPr>
      </w:pPr>
      <w:r>
        <w:rPr>
          <w:i/>
          <w:iCs/>
          <w:sz w:val="20"/>
        </w:rPr>
        <w:t>Vu la loi n°</w:t>
      </w:r>
      <w:r w:rsidR="00702A33">
        <w:rPr>
          <w:i/>
          <w:iCs/>
          <w:sz w:val="20"/>
        </w:rPr>
        <w:t xml:space="preserve"> </w:t>
      </w:r>
      <w:r w:rsidR="00AD7DB9">
        <w:rPr>
          <w:i/>
          <w:iCs/>
          <w:sz w:val="20"/>
        </w:rPr>
        <w:t xml:space="preserve">2015-991 </w:t>
      </w:r>
      <w:r>
        <w:rPr>
          <w:i/>
          <w:iCs/>
          <w:sz w:val="20"/>
        </w:rPr>
        <w:t>du 7 août 2015 portant sur la nouvelle organisation territoriale de la République (</w:t>
      </w:r>
      <w:proofErr w:type="spellStart"/>
      <w:r>
        <w:rPr>
          <w:i/>
          <w:iCs/>
          <w:sz w:val="20"/>
        </w:rPr>
        <w:t>NOTRe</w:t>
      </w:r>
      <w:proofErr w:type="spellEnd"/>
      <w:r>
        <w:rPr>
          <w:i/>
          <w:iCs/>
          <w:sz w:val="20"/>
        </w:rPr>
        <w:t>)</w:t>
      </w:r>
    </w:p>
    <w:p w:rsidR="001914E7" w:rsidRDefault="00101A23" w:rsidP="00702A33">
      <w:pPr>
        <w:autoSpaceDE w:val="0"/>
        <w:autoSpaceDN w:val="0"/>
        <w:adjustRightInd w:val="0"/>
        <w:jc w:val="both"/>
        <w:rPr>
          <w:rFonts w:eastAsia="Arial Unicode MS" w:cs="Arial"/>
          <w:i/>
          <w:iCs/>
          <w:sz w:val="20"/>
        </w:rPr>
      </w:pPr>
      <w:r>
        <w:rPr>
          <w:rFonts w:eastAsia="Arial Unicode MS" w:cs="Arial"/>
          <w:i/>
          <w:iCs/>
          <w:sz w:val="20"/>
        </w:rPr>
        <w:t>Vu le décret n°</w:t>
      </w:r>
      <w:r w:rsidR="00702A33">
        <w:rPr>
          <w:rFonts w:eastAsia="Arial Unicode MS" w:cs="Arial"/>
          <w:i/>
          <w:iCs/>
          <w:sz w:val="20"/>
        </w:rPr>
        <w:t xml:space="preserve"> </w:t>
      </w:r>
      <w:r w:rsidR="001914E7">
        <w:rPr>
          <w:rFonts w:eastAsia="Arial Unicode MS" w:cs="Arial"/>
          <w:i/>
          <w:iCs/>
          <w:sz w:val="20"/>
        </w:rPr>
        <w:t>2014-1602 du 23 décembre 2014 portant création de la métropole dénommée "Rennes Métropole" ;</w:t>
      </w:r>
    </w:p>
    <w:p w:rsidR="008663EF" w:rsidRDefault="008663EF" w:rsidP="00702A33">
      <w:pPr>
        <w:jc w:val="both"/>
        <w:rPr>
          <w:i/>
          <w:iCs/>
          <w:sz w:val="20"/>
        </w:rPr>
      </w:pPr>
      <w:r w:rsidRPr="006E3615">
        <w:rPr>
          <w:i/>
          <w:iCs/>
          <w:sz w:val="20"/>
        </w:rPr>
        <w:t xml:space="preserve">Vu l’arrêté préfectoral du </w:t>
      </w:r>
      <w:r w:rsidR="004D296C">
        <w:rPr>
          <w:i/>
          <w:iCs/>
          <w:sz w:val="20"/>
        </w:rPr>
        <w:t>4 juin 2018</w:t>
      </w:r>
      <w:r w:rsidRPr="006E3615">
        <w:rPr>
          <w:i/>
          <w:iCs/>
          <w:sz w:val="20"/>
        </w:rPr>
        <w:t xml:space="preserve"> portant statuts de </w:t>
      </w:r>
      <w:r w:rsidR="00585BD0" w:rsidRPr="006E3615">
        <w:rPr>
          <w:i/>
          <w:iCs/>
          <w:sz w:val="20"/>
        </w:rPr>
        <w:t xml:space="preserve">la métropole </w:t>
      </w:r>
      <w:r w:rsidRPr="006E3615">
        <w:rPr>
          <w:i/>
          <w:iCs/>
          <w:sz w:val="20"/>
        </w:rPr>
        <w:t>Rennes Métropole ;</w:t>
      </w:r>
    </w:p>
    <w:p w:rsidR="006E3615" w:rsidRPr="00E01271" w:rsidRDefault="006E3615" w:rsidP="00702A33">
      <w:pPr>
        <w:jc w:val="both"/>
        <w:rPr>
          <w:i/>
          <w:iCs/>
          <w:sz w:val="20"/>
        </w:rPr>
      </w:pPr>
      <w:r w:rsidRPr="00E01271">
        <w:rPr>
          <w:i/>
          <w:iCs/>
          <w:sz w:val="20"/>
        </w:rPr>
        <w:t xml:space="preserve">Vu le Contrat de Plan </w:t>
      </w:r>
      <w:r w:rsidR="00702A33" w:rsidRPr="00E01271">
        <w:rPr>
          <w:i/>
          <w:iCs/>
          <w:sz w:val="20"/>
        </w:rPr>
        <w:t>État</w:t>
      </w:r>
      <w:r w:rsidRPr="00E01271">
        <w:rPr>
          <w:i/>
          <w:iCs/>
          <w:sz w:val="20"/>
        </w:rPr>
        <w:t>-Région 2015-2020 signé entre l'</w:t>
      </w:r>
      <w:r w:rsidR="00702A33" w:rsidRPr="00E01271">
        <w:rPr>
          <w:i/>
          <w:iCs/>
          <w:sz w:val="20"/>
        </w:rPr>
        <w:t>État</w:t>
      </w:r>
      <w:r w:rsidRPr="00E01271">
        <w:rPr>
          <w:i/>
          <w:iCs/>
          <w:sz w:val="20"/>
        </w:rPr>
        <w:t xml:space="preserve"> et la Région Bretagne le 11 mai 2015 ; </w:t>
      </w:r>
    </w:p>
    <w:p w:rsidR="001914E7" w:rsidRDefault="001914E7" w:rsidP="00702A33">
      <w:pPr>
        <w:pStyle w:val="Default"/>
        <w:jc w:val="both"/>
        <w:rPr>
          <w:rFonts w:ascii="Arial Narrow" w:hAnsi="Arial Narrow"/>
          <w:i/>
          <w:iCs/>
          <w:sz w:val="20"/>
          <w:szCs w:val="20"/>
        </w:rPr>
      </w:pPr>
      <w:r w:rsidRPr="00E01271">
        <w:rPr>
          <w:rFonts w:ascii="Arial Narrow" w:hAnsi="Arial Narrow"/>
          <w:i/>
          <w:iCs/>
          <w:sz w:val="20"/>
          <w:szCs w:val="20"/>
        </w:rPr>
        <w:t>Vu la convention n°</w:t>
      </w:r>
      <w:r w:rsidR="00702A33">
        <w:rPr>
          <w:rFonts w:ascii="Arial Narrow" w:hAnsi="Arial Narrow"/>
          <w:i/>
          <w:iCs/>
          <w:sz w:val="20"/>
          <w:szCs w:val="20"/>
        </w:rPr>
        <w:t xml:space="preserve"> </w:t>
      </w:r>
      <w:r w:rsidRPr="00E01271">
        <w:rPr>
          <w:rFonts w:ascii="Arial Narrow" w:hAnsi="Arial Narrow"/>
          <w:i/>
          <w:iCs/>
          <w:sz w:val="20"/>
          <w:szCs w:val="20"/>
        </w:rPr>
        <w:t>17C0667 de partenariat relative aux voiries structurantes de l'agglomératio</w:t>
      </w:r>
      <w:r w:rsidR="00702A33">
        <w:rPr>
          <w:rFonts w:ascii="Arial Narrow" w:hAnsi="Arial Narrow"/>
          <w:i/>
          <w:iCs/>
          <w:sz w:val="20"/>
          <w:szCs w:val="20"/>
        </w:rPr>
        <w:t>n rennaise en date du 4 juillet </w:t>
      </w:r>
      <w:r w:rsidRPr="00E01271">
        <w:rPr>
          <w:rFonts w:ascii="Arial Narrow" w:hAnsi="Arial Narrow"/>
          <w:i/>
          <w:iCs/>
          <w:sz w:val="20"/>
          <w:szCs w:val="20"/>
        </w:rPr>
        <w:t>2017</w:t>
      </w:r>
      <w:r w:rsidR="00702A33">
        <w:rPr>
          <w:rFonts w:ascii="Arial Narrow" w:hAnsi="Arial Narrow"/>
          <w:i/>
          <w:iCs/>
          <w:sz w:val="20"/>
          <w:szCs w:val="20"/>
        </w:rPr>
        <w:t xml:space="preserve"> ;</w:t>
      </w:r>
    </w:p>
    <w:p w:rsidR="00494362" w:rsidRPr="001914E7" w:rsidRDefault="00494362" w:rsidP="00702A33">
      <w:pPr>
        <w:pStyle w:val="Default"/>
        <w:jc w:val="both"/>
        <w:rPr>
          <w:rFonts w:ascii="Arial Narrow" w:hAnsi="Arial Narrow"/>
          <w:i/>
          <w:iCs/>
          <w:sz w:val="20"/>
          <w:szCs w:val="20"/>
        </w:rPr>
      </w:pPr>
      <w:r w:rsidRPr="00DF4E03">
        <w:rPr>
          <w:rFonts w:ascii="Arial Narrow" w:hAnsi="Arial Narrow"/>
          <w:i/>
          <w:iCs/>
          <w:sz w:val="20"/>
          <w:szCs w:val="20"/>
        </w:rPr>
        <w:t>Vu la délibération n° C 13.196 du 20 juin 2013 approuvant le projet de territoire de Rennes Métropole, notamment son orientation n° 8</w:t>
      </w:r>
      <w:r>
        <w:rPr>
          <w:rFonts w:ascii="Arial Narrow" w:hAnsi="Arial Narrow"/>
          <w:i/>
          <w:iCs/>
          <w:sz w:val="20"/>
          <w:szCs w:val="20"/>
        </w:rPr>
        <w:t> ;</w:t>
      </w:r>
    </w:p>
    <w:p w:rsidR="007B1333" w:rsidRDefault="007B1333" w:rsidP="00702A33">
      <w:pPr>
        <w:jc w:val="both"/>
        <w:rPr>
          <w:i/>
          <w:iCs/>
          <w:sz w:val="20"/>
        </w:rPr>
      </w:pPr>
      <w:r>
        <w:rPr>
          <w:i/>
          <w:iCs/>
          <w:sz w:val="20"/>
        </w:rPr>
        <w:t xml:space="preserve">Vu la délibération </w:t>
      </w:r>
      <w:r w:rsidR="004D41E9">
        <w:rPr>
          <w:i/>
          <w:iCs/>
          <w:sz w:val="20"/>
        </w:rPr>
        <w:t>n°</w:t>
      </w:r>
      <w:r w:rsidR="00702A33">
        <w:rPr>
          <w:i/>
          <w:iCs/>
          <w:sz w:val="20"/>
        </w:rPr>
        <w:t xml:space="preserve"> </w:t>
      </w:r>
      <w:r w:rsidR="00AD7DB9">
        <w:rPr>
          <w:i/>
          <w:iCs/>
          <w:sz w:val="20"/>
        </w:rPr>
        <w:t xml:space="preserve">C </w:t>
      </w:r>
      <w:r w:rsidR="00D65ADD">
        <w:rPr>
          <w:i/>
          <w:iCs/>
          <w:sz w:val="20"/>
        </w:rPr>
        <w:t>20</w:t>
      </w:r>
      <w:r w:rsidR="00702A33">
        <w:rPr>
          <w:i/>
          <w:iCs/>
          <w:sz w:val="20"/>
        </w:rPr>
        <w:t>.</w:t>
      </w:r>
      <w:r w:rsidR="00D65ADD">
        <w:rPr>
          <w:i/>
          <w:iCs/>
          <w:sz w:val="20"/>
        </w:rPr>
        <w:t>001</w:t>
      </w:r>
      <w:r w:rsidRPr="00901DB2">
        <w:rPr>
          <w:i/>
          <w:iCs/>
          <w:sz w:val="20"/>
        </w:rPr>
        <w:t xml:space="preserve"> du </w:t>
      </w:r>
      <w:r w:rsidR="00D65ADD">
        <w:rPr>
          <w:i/>
          <w:iCs/>
          <w:sz w:val="20"/>
        </w:rPr>
        <w:t>30</w:t>
      </w:r>
      <w:r w:rsidRPr="00901DB2">
        <w:rPr>
          <w:i/>
          <w:iCs/>
          <w:sz w:val="20"/>
        </w:rPr>
        <w:t xml:space="preserve"> </w:t>
      </w:r>
      <w:r w:rsidR="00D65ADD">
        <w:rPr>
          <w:i/>
          <w:iCs/>
          <w:sz w:val="20"/>
        </w:rPr>
        <w:t>janvier</w:t>
      </w:r>
      <w:r w:rsidRPr="00901DB2">
        <w:rPr>
          <w:i/>
          <w:iCs/>
          <w:sz w:val="20"/>
        </w:rPr>
        <w:t xml:space="preserve"> 20</w:t>
      </w:r>
      <w:r w:rsidR="00D65ADD">
        <w:rPr>
          <w:i/>
          <w:iCs/>
          <w:sz w:val="20"/>
        </w:rPr>
        <w:t>20</w:t>
      </w:r>
      <w:r w:rsidRPr="00901DB2">
        <w:rPr>
          <w:i/>
          <w:iCs/>
          <w:sz w:val="20"/>
        </w:rPr>
        <w:t xml:space="preserve"> approuvant le Plan</w:t>
      </w:r>
      <w:r w:rsidR="00702A33">
        <w:rPr>
          <w:i/>
          <w:iCs/>
          <w:sz w:val="20"/>
        </w:rPr>
        <w:t xml:space="preserve"> de Déplacements Urbains (PDU).</w:t>
      </w:r>
    </w:p>
    <w:p w:rsidR="00494362" w:rsidRPr="00702A33" w:rsidRDefault="00494362" w:rsidP="00702A33">
      <w:pPr>
        <w:jc w:val="both"/>
        <w:rPr>
          <w:iCs/>
          <w:szCs w:val="22"/>
        </w:rPr>
      </w:pPr>
    </w:p>
    <w:p w:rsidR="001914E7" w:rsidRPr="00702A33" w:rsidRDefault="001914E7" w:rsidP="00702A33">
      <w:pPr>
        <w:jc w:val="both"/>
        <w:rPr>
          <w:iCs/>
          <w:szCs w:val="22"/>
        </w:rPr>
      </w:pPr>
    </w:p>
    <w:p w:rsidR="008663EF" w:rsidRPr="00702A33" w:rsidRDefault="008663EF" w:rsidP="00702A33">
      <w:pPr>
        <w:pStyle w:val="Textecourrier"/>
        <w:jc w:val="center"/>
        <w:rPr>
          <w:szCs w:val="22"/>
          <w:u w:val="single"/>
        </w:rPr>
      </w:pPr>
      <w:r w:rsidRPr="00702A33">
        <w:rPr>
          <w:szCs w:val="22"/>
          <w:u w:val="single"/>
        </w:rPr>
        <w:t>EXPOSE</w:t>
      </w:r>
    </w:p>
    <w:p w:rsidR="00702A33" w:rsidRDefault="00702A33" w:rsidP="00702A33">
      <w:pPr>
        <w:pStyle w:val="western"/>
        <w:spacing w:before="0" w:beforeAutospacing="0" w:after="0" w:line="240" w:lineRule="auto"/>
        <w:jc w:val="both"/>
        <w:rPr>
          <w:rFonts w:ascii="Arial Narrow" w:hAnsi="Arial Narrow" w:cs="Arial"/>
          <w:sz w:val="22"/>
          <w:szCs w:val="22"/>
        </w:rPr>
      </w:pPr>
    </w:p>
    <w:p w:rsidR="001914E7" w:rsidRPr="00702A33" w:rsidRDefault="001914E7" w:rsidP="00702A33">
      <w:pPr>
        <w:pStyle w:val="western"/>
        <w:spacing w:before="0" w:beforeAutospacing="0" w:after="0" w:line="240" w:lineRule="auto"/>
        <w:jc w:val="both"/>
        <w:rPr>
          <w:rFonts w:ascii="Arial Narrow" w:hAnsi="Arial Narrow"/>
          <w:sz w:val="22"/>
          <w:szCs w:val="22"/>
        </w:rPr>
      </w:pPr>
      <w:r w:rsidRPr="00702A33">
        <w:rPr>
          <w:rFonts w:ascii="Arial Narrow" w:hAnsi="Arial Narrow" w:cs="Arial"/>
          <w:sz w:val="22"/>
          <w:szCs w:val="22"/>
        </w:rPr>
        <w:t>La rocade de Rennes et ses voiries structurantes (voiries nationales, métropolitaines et départementales) font l’objet de la mise en place d’un schéma directeur d’agglomération de gestion de trafic (SDAGT), conformément à l’instruction ministérielle du 12 février 2015. Le SDAGT constitue une approche globale autour des enjeux de mobilité à l’échelle de l’agglomération rennaise dépassant les périmètres de gestion des réseaux routiers.</w:t>
      </w:r>
    </w:p>
    <w:p w:rsidR="001914E7" w:rsidRPr="00702A33" w:rsidRDefault="001914E7" w:rsidP="00702A33">
      <w:pPr>
        <w:pStyle w:val="western"/>
        <w:spacing w:before="0" w:beforeAutospacing="0" w:after="0" w:line="240" w:lineRule="auto"/>
        <w:jc w:val="both"/>
        <w:rPr>
          <w:rFonts w:ascii="Arial Narrow" w:hAnsi="Arial Narrow" w:cs="Arial"/>
          <w:sz w:val="22"/>
          <w:szCs w:val="22"/>
        </w:rPr>
      </w:pPr>
      <w:r w:rsidRPr="00702A33">
        <w:rPr>
          <w:rFonts w:ascii="Arial Narrow" w:hAnsi="Arial Narrow" w:cs="Arial"/>
          <w:sz w:val="22"/>
          <w:szCs w:val="22"/>
        </w:rPr>
        <w:t>La démarche, pilotée par l’État, a permis de construire un programme conjoint d’opérations prioritaires sur le réseau routier structurant, via :</w:t>
      </w:r>
    </w:p>
    <w:p w:rsidR="00975309" w:rsidRPr="00702A33" w:rsidRDefault="00975309" w:rsidP="00702A33">
      <w:pPr>
        <w:pStyle w:val="western"/>
        <w:spacing w:before="0" w:beforeAutospacing="0" w:after="0" w:line="240" w:lineRule="auto"/>
        <w:jc w:val="both"/>
        <w:rPr>
          <w:rFonts w:ascii="Arial Narrow" w:hAnsi="Arial Narrow"/>
          <w:sz w:val="22"/>
          <w:szCs w:val="22"/>
        </w:rPr>
      </w:pPr>
    </w:p>
    <w:p w:rsidR="001914E7" w:rsidRPr="00702A33" w:rsidRDefault="001914E7" w:rsidP="00702A33">
      <w:pPr>
        <w:pStyle w:val="western"/>
        <w:numPr>
          <w:ilvl w:val="0"/>
          <w:numId w:val="2"/>
        </w:numPr>
        <w:spacing w:before="0" w:beforeAutospacing="0" w:after="0" w:line="240" w:lineRule="auto"/>
        <w:jc w:val="both"/>
        <w:rPr>
          <w:rFonts w:ascii="Arial Narrow" w:hAnsi="Arial Narrow"/>
          <w:sz w:val="22"/>
          <w:szCs w:val="22"/>
        </w:rPr>
      </w:pPr>
      <w:r w:rsidRPr="00702A33">
        <w:rPr>
          <w:rFonts w:ascii="Arial Narrow" w:hAnsi="Arial Narrow" w:cs="Arial"/>
          <w:sz w:val="22"/>
          <w:szCs w:val="22"/>
        </w:rPr>
        <w:t>l’étude d’opportunité, validée lors du comité de pilotage du 12 juillet 2017 et approuvée par décision ministérielle</w:t>
      </w:r>
      <w:r w:rsidR="00A265D2" w:rsidRPr="00702A33">
        <w:rPr>
          <w:rFonts w:ascii="Arial Narrow" w:hAnsi="Arial Narrow" w:cs="Arial"/>
          <w:sz w:val="22"/>
          <w:szCs w:val="22"/>
        </w:rPr>
        <w:t xml:space="preserve"> en date du 24 mai 2018 </w:t>
      </w:r>
      <w:r w:rsidRPr="00702A33">
        <w:rPr>
          <w:rFonts w:ascii="Arial Narrow" w:hAnsi="Arial Narrow" w:cs="Arial"/>
          <w:sz w:val="22"/>
          <w:szCs w:val="22"/>
        </w:rPr>
        <w:t>;</w:t>
      </w:r>
    </w:p>
    <w:p w:rsidR="001914E7" w:rsidRPr="00702A33" w:rsidRDefault="001914E7" w:rsidP="00702A33">
      <w:pPr>
        <w:pStyle w:val="western"/>
        <w:numPr>
          <w:ilvl w:val="0"/>
          <w:numId w:val="2"/>
        </w:numPr>
        <w:spacing w:before="0" w:beforeAutospacing="0" w:after="0" w:line="240" w:lineRule="auto"/>
        <w:jc w:val="both"/>
        <w:rPr>
          <w:rFonts w:ascii="Arial Narrow" w:hAnsi="Arial Narrow"/>
          <w:sz w:val="22"/>
          <w:szCs w:val="22"/>
        </w:rPr>
      </w:pPr>
      <w:r w:rsidRPr="00702A33">
        <w:rPr>
          <w:rFonts w:ascii="Arial Narrow" w:hAnsi="Arial Narrow" w:cs="Arial"/>
          <w:sz w:val="22"/>
          <w:szCs w:val="22"/>
        </w:rPr>
        <w:t>l’étude de programme, validée lors du comité de pilotage du 2 décembre 2019</w:t>
      </w:r>
      <w:r w:rsidR="007559AF" w:rsidRPr="00702A33">
        <w:rPr>
          <w:rFonts w:ascii="Arial Narrow" w:hAnsi="Arial Narrow" w:cs="Arial"/>
          <w:sz w:val="22"/>
          <w:szCs w:val="22"/>
        </w:rPr>
        <w:t>.</w:t>
      </w:r>
    </w:p>
    <w:p w:rsidR="00975309" w:rsidRPr="00702A33" w:rsidRDefault="00975309" w:rsidP="00702A33">
      <w:pPr>
        <w:pStyle w:val="western"/>
        <w:spacing w:before="0" w:beforeAutospacing="0" w:after="0" w:line="240" w:lineRule="auto"/>
        <w:ind w:left="360"/>
        <w:jc w:val="both"/>
        <w:rPr>
          <w:rFonts w:ascii="Arial Narrow" w:hAnsi="Arial Narrow"/>
          <w:sz w:val="22"/>
          <w:szCs w:val="22"/>
        </w:rPr>
      </w:pPr>
    </w:p>
    <w:p w:rsidR="001914E7" w:rsidRPr="00702A33" w:rsidRDefault="001914E7" w:rsidP="00702A33">
      <w:pPr>
        <w:pStyle w:val="western"/>
        <w:spacing w:before="0" w:beforeAutospacing="0" w:after="0" w:line="240" w:lineRule="auto"/>
        <w:jc w:val="both"/>
        <w:rPr>
          <w:rFonts w:ascii="Arial Narrow" w:hAnsi="Arial Narrow" w:cs="Arial"/>
          <w:sz w:val="22"/>
          <w:szCs w:val="22"/>
        </w:rPr>
      </w:pPr>
      <w:r w:rsidRPr="00702A33">
        <w:rPr>
          <w:rFonts w:ascii="Arial Narrow" w:hAnsi="Arial Narrow" w:cs="Arial"/>
          <w:sz w:val="22"/>
          <w:szCs w:val="22"/>
        </w:rPr>
        <w:t>L’État, la Région Bretagne, le Département d’Ille-et-Vilaine et Rennes Métropole portent la mise en œuvre de ce programme d’opérations prioritaires autour des enjeux suivants :</w:t>
      </w:r>
    </w:p>
    <w:p w:rsidR="00975309" w:rsidRPr="00702A33" w:rsidRDefault="00975309" w:rsidP="00702A33">
      <w:pPr>
        <w:pStyle w:val="western"/>
        <w:spacing w:before="0" w:beforeAutospacing="0" w:after="0" w:line="240" w:lineRule="auto"/>
        <w:jc w:val="both"/>
        <w:rPr>
          <w:rFonts w:ascii="Arial Narrow" w:hAnsi="Arial Narrow"/>
          <w:sz w:val="22"/>
          <w:szCs w:val="22"/>
        </w:rPr>
      </w:pPr>
    </w:p>
    <w:p w:rsidR="001914E7" w:rsidRPr="00702A33" w:rsidRDefault="001914E7" w:rsidP="00702A33">
      <w:pPr>
        <w:pStyle w:val="western"/>
        <w:numPr>
          <w:ilvl w:val="0"/>
          <w:numId w:val="3"/>
        </w:numPr>
        <w:spacing w:before="0" w:beforeAutospacing="0" w:after="0" w:line="240" w:lineRule="auto"/>
        <w:jc w:val="both"/>
        <w:rPr>
          <w:rFonts w:ascii="Arial Narrow" w:hAnsi="Arial Narrow"/>
          <w:sz w:val="22"/>
          <w:szCs w:val="22"/>
        </w:rPr>
      </w:pPr>
      <w:r w:rsidRPr="00702A33">
        <w:rPr>
          <w:rFonts w:ascii="Arial Narrow" w:hAnsi="Arial Narrow" w:cs="Arial"/>
          <w:sz w:val="22"/>
          <w:szCs w:val="22"/>
        </w:rPr>
        <w:t>Le traitement des phénomènes de congestion récurrente</w:t>
      </w:r>
      <w:r w:rsidR="00702A33">
        <w:rPr>
          <w:rFonts w:ascii="Arial Narrow" w:hAnsi="Arial Narrow" w:cs="Arial"/>
          <w:sz w:val="22"/>
          <w:szCs w:val="22"/>
        </w:rPr>
        <w:t xml:space="preserve"> ;</w:t>
      </w:r>
    </w:p>
    <w:p w:rsidR="001914E7" w:rsidRPr="00702A33" w:rsidRDefault="001914E7" w:rsidP="00702A33">
      <w:pPr>
        <w:pStyle w:val="western"/>
        <w:numPr>
          <w:ilvl w:val="0"/>
          <w:numId w:val="3"/>
        </w:numPr>
        <w:spacing w:before="0" w:beforeAutospacing="0" w:after="0" w:line="240" w:lineRule="auto"/>
        <w:jc w:val="both"/>
        <w:rPr>
          <w:rFonts w:ascii="Arial Narrow" w:hAnsi="Arial Narrow"/>
          <w:sz w:val="22"/>
          <w:szCs w:val="22"/>
        </w:rPr>
      </w:pPr>
      <w:r w:rsidRPr="00702A33">
        <w:rPr>
          <w:rFonts w:ascii="Arial Narrow" w:hAnsi="Arial Narrow" w:cs="Arial"/>
          <w:sz w:val="22"/>
          <w:szCs w:val="22"/>
        </w:rPr>
        <w:t>Le renforcement de l’usage des Transports en Commun en fiabilisant les temps de parcours</w:t>
      </w:r>
      <w:r w:rsidR="00702A33">
        <w:rPr>
          <w:rFonts w:ascii="Arial Narrow" w:hAnsi="Arial Narrow" w:cs="Arial"/>
          <w:sz w:val="22"/>
          <w:szCs w:val="22"/>
        </w:rPr>
        <w:t xml:space="preserve"> ;</w:t>
      </w:r>
    </w:p>
    <w:p w:rsidR="001914E7" w:rsidRPr="00702A33" w:rsidRDefault="001914E7" w:rsidP="00702A33">
      <w:pPr>
        <w:pStyle w:val="western"/>
        <w:numPr>
          <w:ilvl w:val="0"/>
          <w:numId w:val="3"/>
        </w:numPr>
        <w:spacing w:before="0" w:beforeAutospacing="0" w:after="0" w:line="240" w:lineRule="auto"/>
        <w:jc w:val="both"/>
        <w:rPr>
          <w:rFonts w:ascii="Arial Narrow" w:hAnsi="Arial Narrow"/>
          <w:sz w:val="22"/>
          <w:szCs w:val="22"/>
        </w:rPr>
      </w:pPr>
      <w:r w:rsidRPr="00702A33">
        <w:rPr>
          <w:rFonts w:ascii="Arial Narrow" w:hAnsi="Arial Narrow" w:cs="Arial"/>
          <w:sz w:val="22"/>
          <w:szCs w:val="22"/>
        </w:rPr>
        <w:t>Le développement de l’intermodalité en renforçant la lisibilité des pôles d’échange depuis le réseau structurant</w:t>
      </w:r>
      <w:r w:rsidR="00702A33">
        <w:rPr>
          <w:rFonts w:ascii="Arial Narrow" w:hAnsi="Arial Narrow" w:cs="Arial"/>
          <w:sz w:val="22"/>
          <w:szCs w:val="22"/>
        </w:rPr>
        <w:t xml:space="preserve"> ;</w:t>
      </w:r>
    </w:p>
    <w:p w:rsidR="001914E7" w:rsidRPr="00702A33" w:rsidRDefault="001914E7" w:rsidP="00702A33">
      <w:pPr>
        <w:pStyle w:val="western"/>
        <w:numPr>
          <w:ilvl w:val="0"/>
          <w:numId w:val="3"/>
        </w:numPr>
        <w:spacing w:before="0" w:beforeAutospacing="0" w:after="0" w:line="240" w:lineRule="auto"/>
        <w:jc w:val="both"/>
        <w:rPr>
          <w:rFonts w:ascii="Arial Narrow" w:hAnsi="Arial Narrow"/>
          <w:sz w:val="22"/>
          <w:szCs w:val="22"/>
        </w:rPr>
      </w:pPr>
      <w:r w:rsidRPr="00702A33">
        <w:rPr>
          <w:rFonts w:ascii="Arial Narrow" w:hAnsi="Arial Narrow" w:cs="Arial"/>
          <w:sz w:val="22"/>
          <w:szCs w:val="22"/>
        </w:rPr>
        <w:t>Le développement et la coordination de l’information aux usagers.</w:t>
      </w:r>
    </w:p>
    <w:p w:rsidR="004C6D08" w:rsidRPr="00702A33" w:rsidRDefault="004C6D08" w:rsidP="00702A33">
      <w:pPr>
        <w:pStyle w:val="western"/>
        <w:spacing w:before="0" w:beforeAutospacing="0" w:after="0" w:line="240" w:lineRule="auto"/>
        <w:jc w:val="both"/>
        <w:rPr>
          <w:rFonts w:ascii="Arial Narrow" w:hAnsi="Arial Narrow" w:cs="Arial"/>
          <w:sz w:val="22"/>
          <w:szCs w:val="22"/>
        </w:rPr>
      </w:pPr>
    </w:p>
    <w:p w:rsidR="004C6D08" w:rsidRPr="00702A33" w:rsidRDefault="004C6D08" w:rsidP="00702A33">
      <w:pPr>
        <w:pStyle w:val="western"/>
        <w:spacing w:before="0" w:beforeAutospacing="0" w:after="0" w:line="240" w:lineRule="auto"/>
        <w:jc w:val="both"/>
        <w:rPr>
          <w:rFonts w:ascii="Arial Narrow" w:hAnsi="Arial Narrow" w:cs="Arial"/>
          <w:sz w:val="22"/>
          <w:szCs w:val="22"/>
        </w:rPr>
      </w:pPr>
      <w:r w:rsidRPr="00702A33">
        <w:rPr>
          <w:rFonts w:ascii="Arial Narrow" w:hAnsi="Arial Narrow" w:cs="Arial"/>
          <w:sz w:val="22"/>
          <w:szCs w:val="22"/>
        </w:rPr>
        <w:t>Il a donc été décidé de mettre en place un protocole d'intention définissant les périmètres d'intervention et modalités de financement pour chacun des partenaires.</w:t>
      </w:r>
    </w:p>
    <w:p w:rsidR="004C6D08" w:rsidRPr="00702A33" w:rsidRDefault="004C6D08" w:rsidP="00702A33">
      <w:pPr>
        <w:pStyle w:val="western"/>
        <w:spacing w:before="0" w:beforeAutospacing="0" w:after="0" w:line="240" w:lineRule="auto"/>
        <w:jc w:val="both"/>
        <w:rPr>
          <w:rFonts w:ascii="Arial Narrow" w:hAnsi="Arial Narrow" w:cs="Arial"/>
          <w:sz w:val="22"/>
          <w:szCs w:val="22"/>
        </w:rPr>
      </w:pPr>
    </w:p>
    <w:p w:rsidR="004C6D08" w:rsidRPr="00702A33" w:rsidRDefault="004C6D08" w:rsidP="00702A33">
      <w:pPr>
        <w:pStyle w:val="western"/>
        <w:spacing w:before="0" w:beforeAutospacing="0" w:after="0" w:line="240" w:lineRule="auto"/>
        <w:jc w:val="both"/>
        <w:rPr>
          <w:rFonts w:ascii="Arial Narrow" w:hAnsi="Arial Narrow" w:cs="Arial"/>
          <w:b/>
          <w:sz w:val="22"/>
          <w:szCs w:val="22"/>
        </w:rPr>
      </w:pPr>
      <w:r w:rsidRPr="00702A33">
        <w:rPr>
          <w:rFonts w:ascii="Arial Narrow" w:hAnsi="Arial Narrow" w:cs="Arial"/>
          <w:b/>
          <w:smallCaps/>
          <w:sz w:val="22"/>
          <w:szCs w:val="22"/>
          <w:u w:val="single"/>
        </w:rPr>
        <w:t>Objet du Protocole d'intention</w:t>
      </w:r>
      <w:r w:rsidRPr="00702A33">
        <w:rPr>
          <w:rFonts w:ascii="Arial Narrow" w:hAnsi="Arial Narrow" w:cs="Arial"/>
          <w:b/>
          <w:sz w:val="22"/>
          <w:szCs w:val="22"/>
        </w:rPr>
        <w:t xml:space="preserve"> : </w:t>
      </w:r>
    </w:p>
    <w:p w:rsidR="004C6D08" w:rsidRPr="00702A33" w:rsidRDefault="004C6D08" w:rsidP="00702A33">
      <w:pPr>
        <w:pStyle w:val="western"/>
        <w:spacing w:before="0" w:beforeAutospacing="0" w:after="0" w:line="240" w:lineRule="auto"/>
        <w:jc w:val="both"/>
        <w:rPr>
          <w:rFonts w:ascii="Arial Narrow" w:hAnsi="Arial Narrow" w:cs="Arial"/>
          <w:sz w:val="22"/>
          <w:szCs w:val="22"/>
        </w:rPr>
      </w:pPr>
    </w:p>
    <w:p w:rsidR="001D6482" w:rsidRPr="00702A33" w:rsidRDefault="001D6482" w:rsidP="00702A33">
      <w:pPr>
        <w:pStyle w:val="western"/>
        <w:spacing w:before="0" w:beforeAutospacing="0" w:after="0" w:line="240" w:lineRule="auto"/>
        <w:jc w:val="both"/>
        <w:rPr>
          <w:rFonts w:ascii="Arial Narrow" w:hAnsi="Arial Narrow"/>
          <w:sz w:val="22"/>
          <w:szCs w:val="22"/>
        </w:rPr>
      </w:pPr>
      <w:r w:rsidRPr="00702A33">
        <w:rPr>
          <w:rFonts w:ascii="Arial Narrow" w:hAnsi="Arial Narrow" w:cs="Arial"/>
          <w:sz w:val="22"/>
          <w:szCs w:val="22"/>
        </w:rPr>
        <w:t>Le présent protocole a pour objet de définir les engagements mutuels entre les Parties au titre de la mise en œuvre, d’ici 2024, du programme des opérations prioritaires du Schéma Directeur d’Agglomération de Gestion de Trafic (SDAGT) de Rennes, sur le réseau routier structurant.</w:t>
      </w:r>
    </w:p>
    <w:p w:rsidR="001D6482" w:rsidRPr="00702A33" w:rsidRDefault="001D6482" w:rsidP="00702A33">
      <w:pPr>
        <w:pStyle w:val="western"/>
        <w:spacing w:before="0" w:beforeAutospacing="0" w:after="0" w:line="240" w:lineRule="auto"/>
        <w:jc w:val="both"/>
        <w:rPr>
          <w:rFonts w:ascii="Arial Narrow" w:hAnsi="Arial Narrow"/>
          <w:sz w:val="22"/>
          <w:szCs w:val="22"/>
        </w:rPr>
      </w:pPr>
      <w:r w:rsidRPr="00702A33">
        <w:rPr>
          <w:rFonts w:ascii="Arial Narrow" w:hAnsi="Arial Narrow" w:cs="Arial"/>
          <w:sz w:val="22"/>
          <w:szCs w:val="22"/>
        </w:rPr>
        <w:t>Il fixe notamment le programme et les principes de cofinancement pour sa réalisation.</w:t>
      </w:r>
    </w:p>
    <w:p w:rsidR="001D6482" w:rsidRPr="00702A33" w:rsidRDefault="001D6482" w:rsidP="00702A33">
      <w:pPr>
        <w:pStyle w:val="western"/>
        <w:spacing w:before="0" w:beforeAutospacing="0" w:after="0" w:line="240" w:lineRule="auto"/>
        <w:jc w:val="both"/>
        <w:rPr>
          <w:rFonts w:ascii="Arial Narrow" w:hAnsi="Arial Narrow"/>
          <w:sz w:val="22"/>
          <w:szCs w:val="22"/>
        </w:rPr>
      </w:pPr>
      <w:r w:rsidRPr="00702A33">
        <w:rPr>
          <w:rFonts w:ascii="Arial Narrow" w:hAnsi="Arial Narrow" w:cs="Arial"/>
          <w:sz w:val="22"/>
          <w:szCs w:val="22"/>
        </w:rPr>
        <w:t>Il sera complété par des conventions de financement particulières par périmètre de maîtrise d’ouvrage, par lesquelles seront précisés les engagements des Parties.</w:t>
      </w:r>
    </w:p>
    <w:p w:rsidR="001D6482" w:rsidRPr="00702A33" w:rsidRDefault="001D6482" w:rsidP="00702A33">
      <w:pPr>
        <w:pStyle w:val="western"/>
        <w:spacing w:before="0" w:beforeAutospacing="0" w:after="0" w:line="240" w:lineRule="auto"/>
        <w:jc w:val="both"/>
        <w:rPr>
          <w:rFonts w:ascii="Arial Narrow" w:hAnsi="Arial Narrow" w:cs="Arial"/>
          <w:sz w:val="22"/>
          <w:szCs w:val="22"/>
        </w:rPr>
      </w:pPr>
      <w:r w:rsidRPr="00702A33">
        <w:rPr>
          <w:rFonts w:ascii="Arial Narrow" w:hAnsi="Arial Narrow" w:cs="Arial"/>
          <w:sz w:val="22"/>
          <w:szCs w:val="22"/>
        </w:rPr>
        <w:t>Le cas échéant, des conventions particulières liées au fonctionnement et à la maintenance seront également établies.</w:t>
      </w:r>
    </w:p>
    <w:p w:rsidR="007E1A9B" w:rsidRPr="00702A33" w:rsidRDefault="007E1A9B" w:rsidP="00702A33">
      <w:pPr>
        <w:pStyle w:val="western"/>
        <w:spacing w:before="0" w:beforeAutospacing="0" w:after="0" w:line="240" w:lineRule="auto"/>
        <w:jc w:val="both"/>
        <w:rPr>
          <w:rFonts w:ascii="Arial Narrow" w:hAnsi="Arial Narrow" w:cs="Arial"/>
          <w:sz w:val="22"/>
          <w:szCs w:val="22"/>
        </w:rPr>
      </w:pPr>
    </w:p>
    <w:p w:rsidR="007E1A9B" w:rsidRPr="00702A33" w:rsidRDefault="007E1A9B" w:rsidP="00702A33">
      <w:pPr>
        <w:pStyle w:val="western"/>
        <w:spacing w:before="0" w:beforeAutospacing="0" w:after="0" w:line="240" w:lineRule="auto"/>
        <w:jc w:val="both"/>
        <w:rPr>
          <w:rFonts w:ascii="Arial Narrow" w:hAnsi="Arial Narrow" w:cs="Arial"/>
          <w:sz w:val="22"/>
          <w:szCs w:val="22"/>
        </w:rPr>
      </w:pPr>
      <w:r w:rsidRPr="00702A33">
        <w:rPr>
          <w:rFonts w:ascii="Arial Narrow" w:hAnsi="Arial Narrow" w:cs="Arial"/>
          <w:sz w:val="22"/>
          <w:szCs w:val="22"/>
          <w:u w:val="single"/>
        </w:rPr>
        <w:t>Programme des mesures à réaliser</w:t>
      </w:r>
      <w:r w:rsidRPr="00702A33">
        <w:rPr>
          <w:rFonts w:ascii="Arial Narrow" w:hAnsi="Arial Narrow" w:cs="Arial"/>
          <w:sz w:val="22"/>
          <w:szCs w:val="22"/>
        </w:rPr>
        <w:t xml:space="preserve"> : </w:t>
      </w:r>
    </w:p>
    <w:p w:rsidR="007E1A9B" w:rsidRPr="00702A33" w:rsidRDefault="007E1A9B" w:rsidP="00702A33">
      <w:pPr>
        <w:pStyle w:val="western"/>
        <w:spacing w:before="0" w:beforeAutospacing="0" w:after="0" w:line="240" w:lineRule="auto"/>
        <w:jc w:val="both"/>
        <w:rPr>
          <w:rFonts w:ascii="Arial Narrow" w:hAnsi="Arial Narrow" w:cs="Arial"/>
          <w:sz w:val="22"/>
          <w:szCs w:val="22"/>
        </w:rPr>
      </w:pPr>
    </w:p>
    <w:p w:rsidR="007E1A9B" w:rsidRPr="00702A33" w:rsidRDefault="007E1A9B" w:rsidP="00702A33">
      <w:pPr>
        <w:jc w:val="both"/>
        <w:rPr>
          <w:rFonts w:cs="Arial"/>
          <w:color w:val="00000A"/>
          <w:szCs w:val="22"/>
        </w:rPr>
      </w:pPr>
      <w:r w:rsidRPr="00702A33">
        <w:rPr>
          <w:rFonts w:cs="Arial"/>
          <w:color w:val="00000A"/>
          <w:szCs w:val="22"/>
        </w:rPr>
        <w:t>Au titre du SDAGT de Rennes, il est décidé de retenir les mesures prioritaires suivantes :</w:t>
      </w:r>
    </w:p>
    <w:p w:rsidR="007E1A9B" w:rsidRPr="00702A33" w:rsidRDefault="007E1A9B" w:rsidP="00702A33">
      <w:pPr>
        <w:jc w:val="both"/>
        <w:rPr>
          <w:rFonts w:cs="Liberation Serif"/>
          <w:color w:val="00000A"/>
          <w:szCs w:val="22"/>
        </w:rPr>
      </w:pPr>
    </w:p>
    <w:p w:rsidR="007E1A9B" w:rsidRPr="00702A33" w:rsidRDefault="007E1A9B" w:rsidP="00702A33">
      <w:pPr>
        <w:jc w:val="both"/>
        <w:rPr>
          <w:rFonts w:cs="Arial"/>
          <w:color w:val="00000A"/>
          <w:szCs w:val="22"/>
        </w:rPr>
      </w:pPr>
      <w:r w:rsidRPr="00702A33">
        <w:rPr>
          <w:rFonts w:cs="Arial"/>
          <w:color w:val="00000A"/>
          <w:szCs w:val="22"/>
        </w:rPr>
        <w:t>Mesures en faveur de la maîtrise de la congestion sur la rocade :</w:t>
      </w:r>
    </w:p>
    <w:p w:rsidR="006F1BA1" w:rsidRPr="00702A33" w:rsidRDefault="006F1BA1" w:rsidP="00702A33">
      <w:pPr>
        <w:jc w:val="both"/>
        <w:rPr>
          <w:rFonts w:cs="Liberation Serif"/>
          <w:color w:val="00000A"/>
          <w:szCs w:val="22"/>
        </w:rPr>
      </w:pPr>
    </w:p>
    <w:p w:rsidR="007E1A9B" w:rsidRPr="00702A33" w:rsidRDefault="007E1A9B" w:rsidP="00702A33">
      <w:pPr>
        <w:numPr>
          <w:ilvl w:val="0"/>
          <w:numId w:val="4"/>
        </w:numPr>
        <w:jc w:val="both"/>
        <w:rPr>
          <w:rFonts w:cs="Liberation Serif"/>
          <w:color w:val="00000A"/>
          <w:szCs w:val="22"/>
        </w:rPr>
      </w:pPr>
      <w:r w:rsidRPr="00702A33">
        <w:rPr>
          <w:rFonts w:cs="Arial"/>
          <w:color w:val="00000A"/>
          <w:szCs w:val="22"/>
        </w:rPr>
        <w:t>Mise en œuvre de régulations d’accès à la rocade, pour limiter la congestion sur trois secteurs : rocade Sud-Ouest extérieure, rocade Sud-Est intérieure et rocade Ouest intérieure ;</w:t>
      </w:r>
    </w:p>
    <w:p w:rsidR="007E1A9B" w:rsidRPr="00702A33" w:rsidRDefault="007E1A9B" w:rsidP="00702A33">
      <w:pPr>
        <w:numPr>
          <w:ilvl w:val="0"/>
          <w:numId w:val="4"/>
        </w:numPr>
        <w:jc w:val="both"/>
        <w:rPr>
          <w:rFonts w:cs="Liberation Serif"/>
          <w:color w:val="00000A"/>
          <w:szCs w:val="22"/>
        </w:rPr>
      </w:pPr>
      <w:r w:rsidRPr="00702A33">
        <w:rPr>
          <w:rFonts w:cs="Arial"/>
          <w:color w:val="00000A"/>
          <w:szCs w:val="22"/>
        </w:rPr>
        <w:t xml:space="preserve">Création de deux voies d’entrecroisement en rocade extérieure entre les portes de </w:t>
      </w:r>
      <w:proofErr w:type="spellStart"/>
      <w:r w:rsidRPr="00702A33">
        <w:rPr>
          <w:rFonts w:cs="Arial"/>
          <w:color w:val="00000A"/>
          <w:szCs w:val="22"/>
        </w:rPr>
        <w:t>Bréquigny</w:t>
      </w:r>
      <w:proofErr w:type="spellEnd"/>
      <w:r w:rsidRPr="00702A33">
        <w:rPr>
          <w:rFonts w:cs="Arial"/>
          <w:color w:val="00000A"/>
          <w:szCs w:val="22"/>
        </w:rPr>
        <w:t xml:space="preserve"> et de Nantes et en rocade intérieure entre les p</w:t>
      </w:r>
      <w:r w:rsidR="00702A33">
        <w:rPr>
          <w:rFonts w:cs="Arial"/>
          <w:color w:val="00000A"/>
          <w:szCs w:val="22"/>
        </w:rPr>
        <w:t>ortes de Brest et de Beauregard ;</w:t>
      </w:r>
    </w:p>
    <w:p w:rsidR="007E1A9B" w:rsidRPr="00702A33" w:rsidRDefault="007E1A9B" w:rsidP="00702A33">
      <w:pPr>
        <w:numPr>
          <w:ilvl w:val="0"/>
          <w:numId w:val="4"/>
        </w:numPr>
        <w:jc w:val="both"/>
        <w:rPr>
          <w:rFonts w:cs="Liberation Serif"/>
          <w:color w:val="00000A"/>
          <w:szCs w:val="22"/>
        </w:rPr>
      </w:pPr>
      <w:r w:rsidRPr="00702A33">
        <w:rPr>
          <w:rFonts w:cs="Arial"/>
          <w:color w:val="00000A"/>
          <w:szCs w:val="22"/>
        </w:rPr>
        <w:t xml:space="preserve">Aménagement des portes de </w:t>
      </w:r>
      <w:proofErr w:type="spellStart"/>
      <w:r w:rsidRPr="00702A33">
        <w:rPr>
          <w:rFonts w:cs="Arial"/>
          <w:color w:val="00000A"/>
          <w:szCs w:val="22"/>
        </w:rPr>
        <w:t>Cleunay</w:t>
      </w:r>
      <w:proofErr w:type="spellEnd"/>
      <w:r w:rsidRPr="00702A33">
        <w:rPr>
          <w:rFonts w:cs="Arial"/>
          <w:color w:val="00000A"/>
          <w:szCs w:val="22"/>
        </w:rPr>
        <w:t xml:space="preserve">, </w:t>
      </w:r>
      <w:proofErr w:type="spellStart"/>
      <w:r w:rsidRPr="00702A33">
        <w:rPr>
          <w:rFonts w:cs="Arial"/>
          <w:color w:val="00000A"/>
          <w:szCs w:val="22"/>
        </w:rPr>
        <w:t>Villejean</w:t>
      </w:r>
      <w:proofErr w:type="spellEnd"/>
      <w:r w:rsidRPr="00702A33">
        <w:rPr>
          <w:rFonts w:cs="Arial"/>
          <w:color w:val="00000A"/>
          <w:szCs w:val="22"/>
        </w:rPr>
        <w:t xml:space="preserve"> et des Loges en faveur de la sécurité des usagers et de la fluidité des transports en commun.</w:t>
      </w:r>
    </w:p>
    <w:p w:rsidR="007E1A9B" w:rsidRPr="00702A33" w:rsidRDefault="007E1A9B" w:rsidP="00702A33">
      <w:pPr>
        <w:ind w:left="360"/>
        <w:jc w:val="both"/>
        <w:rPr>
          <w:rFonts w:cs="Liberation Serif"/>
          <w:color w:val="00000A"/>
          <w:szCs w:val="22"/>
        </w:rPr>
      </w:pPr>
    </w:p>
    <w:p w:rsidR="007E1A9B" w:rsidRPr="00702A33" w:rsidRDefault="007E1A9B" w:rsidP="00702A33">
      <w:pPr>
        <w:jc w:val="both"/>
        <w:rPr>
          <w:rFonts w:cs="Arial"/>
          <w:color w:val="00000A"/>
          <w:szCs w:val="22"/>
        </w:rPr>
      </w:pPr>
      <w:r w:rsidRPr="00702A33">
        <w:rPr>
          <w:rFonts w:cs="Arial"/>
          <w:color w:val="00000A"/>
          <w:szCs w:val="22"/>
        </w:rPr>
        <w:t>Mesures en faveur de l’intermodalité</w:t>
      </w:r>
      <w:r w:rsidR="00803C3F">
        <w:rPr>
          <w:rFonts w:cs="Arial"/>
          <w:color w:val="00000A"/>
          <w:szCs w:val="22"/>
        </w:rPr>
        <w:t xml:space="preserve"> :</w:t>
      </w:r>
    </w:p>
    <w:p w:rsidR="006F1BA1" w:rsidRPr="00702A33" w:rsidRDefault="006F1BA1" w:rsidP="00702A33">
      <w:pPr>
        <w:jc w:val="both"/>
        <w:rPr>
          <w:rFonts w:cs="Liberation Serif"/>
          <w:color w:val="00000A"/>
          <w:szCs w:val="22"/>
        </w:rPr>
      </w:pPr>
    </w:p>
    <w:p w:rsidR="007E1A9B" w:rsidRPr="00702A33" w:rsidRDefault="007E1A9B" w:rsidP="00702A33">
      <w:pPr>
        <w:numPr>
          <w:ilvl w:val="0"/>
          <w:numId w:val="5"/>
        </w:numPr>
        <w:jc w:val="both"/>
        <w:rPr>
          <w:rFonts w:cs="Liberation Serif"/>
          <w:color w:val="00000A"/>
          <w:szCs w:val="22"/>
        </w:rPr>
      </w:pPr>
      <w:r w:rsidRPr="00702A33">
        <w:rPr>
          <w:rFonts w:cs="Arial"/>
          <w:color w:val="00000A"/>
          <w:szCs w:val="22"/>
        </w:rPr>
        <w:t>Création de voies réservées aux transports en commun sur la RN137, de voies réservées aux transports en commun, aux taxis, au covoiturage et aux véhicules à très faibles émissions (VTFE) sur la RD175 et la RD137 et prolongation de la voie réservée aux transports en commun sur RN24, en cohérence avec la démarche de la desserte de l’Ouest rennais ;</w:t>
      </w:r>
    </w:p>
    <w:p w:rsidR="007E1A9B" w:rsidRPr="00702A33" w:rsidRDefault="007E1A9B" w:rsidP="00702A33">
      <w:pPr>
        <w:numPr>
          <w:ilvl w:val="0"/>
          <w:numId w:val="5"/>
        </w:numPr>
        <w:jc w:val="both"/>
        <w:rPr>
          <w:rFonts w:cs="Liberation Serif"/>
          <w:color w:val="00000A"/>
          <w:szCs w:val="22"/>
        </w:rPr>
      </w:pPr>
      <w:r w:rsidRPr="00702A33">
        <w:rPr>
          <w:rFonts w:cs="Arial"/>
          <w:color w:val="00000A"/>
          <w:szCs w:val="22"/>
        </w:rPr>
        <w:t>Amélioration du fonctionnement des feux tricolores sur la RN24 ;</w:t>
      </w:r>
    </w:p>
    <w:p w:rsidR="007E1A9B" w:rsidRPr="00702A33" w:rsidRDefault="007E1A9B" w:rsidP="00702A33">
      <w:pPr>
        <w:numPr>
          <w:ilvl w:val="0"/>
          <w:numId w:val="5"/>
        </w:numPr>
        <w:jc w:val="both"/>
        <w:rPr>
          <w:rFonts w:cs="Liberation Serif"/>
          <w:color w:val="00000A"/>
          <w:szCs w:val="22"/>
        </w:rPr>
      </w:pPr>
      <w:r w:rsidRPr="00702A33">
        <w:rPr>
          <w:rFonts w:cs="Arial"/>
          <w:color w:val="00000A"/>
          <w:szCs w:val="22"/>
        </w:rPr>
        <w:t>Parallèlement, poursuite des études de faisabilité de voies réservées aux transports en commun, aux taxis, au covoiturage et aux véhicules à très faibles émissions (VTFE) sur RN137 ainsi que sur RN12, A84, RN157, RD177 et RD173 ;</w:t>
      </w:r>
    </w:p>
    <w:p w:rsidR="007E1A9B" w:rsidRPr="00702A33" w:rsidRDefault="007E1A9B" w:rsidP="00702A33">
      <w:pPr>
        <w:numPr>
          <w:ilvl w:val="0"/>
          <w:numId w:val="5"/>
        </w:numPr>
        <w:jc w:val="both"/>
        <w:rPr>
          <w:rFonts w:cs="Liberation Serif"/>
          <w:color w:val="00000A"/>
          <w:szCs w:val="22"/>
        </w:rPr>
      </w:pPr>
      <w:r w:rsidRPr="00702A33">
        <w:rPr>
          <w:rFonts w:cs="Arial"/>
          <w:color w:val="00000A"/>
          <w:szCs w:val="22"/>
        </w:rPr>
        <w:t>Amélioration de la lisibilité des pôles d’échanges multimodaux, par le renforcement du jalonnement.</w:t>
      </w:r>
    </w:p>
    <w:p w:rsidR="007E1A9B" w:rsidRPr="00702A33" w:rsidRDefault="007E1A9B" w:rsidP="00702A33">
      <w:pPr>
        <w:ind w:left="360"/>
        <w:jc w:val="both"/>
        <w:rPr>
          <w:rFonts w:cs="Liberation Serif"/>
          <w:color w:val="00000A"/>
          <w:szCs w:val="22"/>
        </w:rPr>
      </w:pPr>
    </w:p>
    <w:p w:rsidR="007E1A9B" w:rsidRPr="00702A33" w:rsidRDefault="007E1A9B" w:rsidP="00702A33">
      <w:pPr>
        <w:jc w:val="both"/>
        <w:rPr>
          <w:rFonts w:cs="Arial"/>
          <w:color w:val="00000A"/>
          <w:szCs w:val="22"/>
        </w:rPr>
      </w:pPr>
      <w:r w:rsidRPr="00702A33">
        <w:rPr>
          <w:rFonts w:cs="Arial"/>
          <w:color w:val="00000A"/>
          <w:szCs w:val="22"/>
        </w:rPr>
        <w:t>Mesures en faveur d’une meilleure coordination entre acteurs et d’informations aux usagers</w:t>
      </w:r>
      <w:r w:rsidR="00803C3F">
        <w:rPr>
          <w:rFonts w:cs="Arial"/>
          <w:color w:val="00000A"/>
          <w:szCs w:val="22"/>
        </w:rPr>
        <w:t xml:space="preserve"> :</w:t>
      </w:r>
    </w:p>
    <w:p w:rsidR="006F1BA1" w:rsidRPr="00702A33" w:rsidRDefault="006F1BA1" w:rsidP="00702A33">
      <w:pPr>
        <w:jc w:val="both"/>
        <w:rPr>
          <w:rFonts w:cs="Liberation Serif"/>
          <w:color w:val="00000A"/>
          <w:szCs w:val="22"/>
        </w:rPr>
      </w:pPr>
    </w:p>
    <w:p w:rsidR="007E1A9B" w:rsidRPr="00702A33" w:rsidRDefault="007E1A9B" w:rsidP="00702A33">
      <w:pPr>
        <w:numPr>
          <w:ilvl w:val="0"/>
          <w:numId w:val="6"/>
        </w:numPr>
        <w:jc w:val="both"/>
        <w:rPr>
          <w:rFonts w:cs="Liberation Serif"/>
          <w:color w:val="00000A"/>
          <w:szCs w:val="22"/>
        </w:rPr>
      </w:pPr>
      <w:r w:rsidRPr="00702A33">
        <w:rPr>
          <w:rFonts w:cs="Arial"/>
          <w:color w:val="00000A"/>
          <w:szCs w:val="22"/>
        </w:rPr>
        <w:t>Élaboration d’une stratégie commune d’information aux usagers ;</w:t>
      </w:r>
    </w:p>
    <w:p w:rsidR="007E1A9B" w:rsidRPr="00702A33" w:rsidRDefault="007E1A9B" w:rsidP="00702A33">
      <w:pPr>
        <w:numPr>
          <w:ilvl w:val="0"/>
          <w:numId w:val="6"/>
        </w:numPr>
        <w:jc w:val="both"/>
        <w:rPr>
          <w:rFonts w:cs="Liberation Serif"/>
          <w:color w:val="00000A"/>
          <w:szCs w:val="22"/>
        </w:rPr>
      </w:pPr>
      <w:r w:rsidRPr="00702A33">
        <w:rPr>
          <w:rFonts w:cs="Arial"/>
          <w:color w:val="00000A"/>
          <w:szCs w:val="22"/>
        </w:rPr>
        <w:t>Mise en place d’outils de communication et de partage de données entre les cosignataires du présent protocole ;</w:t>
      </w:r>
    </w:p>
    <w:p w:rsidR="007E1A9B" w:rsidRPr="00702A33" w:rsidRDefault="007E1A9B" w:rsidP="00702A33">
      <w:pPr>
        <w:numPr>
          <w:ilvl w:val="0"/>
          <w:numId w:val="6"/>
        </w:numPr>
        <w:jc w:val="both"/>
        <w:rPr>
          <w:rFonts w:cs="Liberation Serif"/>
          <w:color w:val="00000A"/>
          <w:szCs w:val="22"/>
        </w:rPr>
      </w:pPr>
      <w:r w:rsidRPr="00702A33">
        <w:rPr>
          <w:rFonts w:cs="Arial"/>
          <w:color w:val="00000A"/>
          <w:szCs w:val="22"/>
        </w:rPr>
        <w:t>Consolidation du socle existant d’équipements d’exploitation et de gestion du trafic, pour faciliter la surveillance du trafic, la coordination entre acteurs et l’information des usagers, notamment par le développement de la route connectée.</w:t>
      </w:r>
    </w:p>
    <w:p w:rsidR="006F1BA1" w:rsidRPr="00702A33" w:rsidRDefault="006F1BA1" w:rsidP="00702A33">
      <w:pPr>
        <w:ind w:left="360"/>
        <w:jc w:val="both"/>
        <w:rPr>
          <w:rFonts w:cs="Liberation Serif"/>
          <w:color w:val="00000A"/>
          <w:szCs w:val="22"/>
        </w:rPr>
      </w:pPr>
    </w:p>
    <w:p w:rsidR="007E1A9B" w:rsidRPr="00702A33" w:rsidRDefault="007E1A9B" w:rsidP="00702A33">
      <w:pPr>
        <w:jc w:val="both"/>
        <w:rPr>
          <w:rFonts w:cs="Arial"/>
          <w:color w:val="00000A"/>
          <w:szCs w:val="22"/>
        </w:rPr>
      </w:pPr>
      <w:r w:rsidRPr="00702A33">
        <w:rPr>
          <w:rFonts w:cs="Arial"/>
          <w:color w:val="00000A"/>
          <w:szCs w:val="22"/>
        </w:rPr>
        <w:t>Études d’évaluation des mesures mises en œuvre et de programmation des suites à mener.</w:t>
      </w:r>
    </w:p>
    <w:p w:rsidR="00993855" w:rsidRPr="00702A33" w:rsidRDefault="00993855" w:rsidP="00702A33">
      <w:pPr>
        <w:jc w:val="both"/>
        <w:rPr>
          <w:rFonts w:cs="Arial"/>
          <w:color w:val="00000A"/>
          <w:szCs w:val="22"/>
        </w:rPr>
      </w:pPr>
    </w:p>
    <w:p w:rsidR="00993855" w:rsidRPr="00702A33" w:rsidRDefault="00993855" w:rsidP="00702A33">
      <w:pPr>
        <w:jc w:val="both"/>
        <w:rPr>
          <w:rFonts w:cs="Liberation Serif"/>
          <w:color w:val="00000A"/>
          <w:szCs w:val="22"/>
        </w:rPr>
      </w:pPr>
      <w:r w:rsidRPr="00702A33">
        <w:rPr>
          <w:rFonts w:cs="Arial"/>
          <w:color w:val="00000A"/>
          <w:szCs w:val="22"/>
          <w:u w:val="single"/>
        </w:rPr>
        <w:t>Modalités de suivi</w:t>
      </w:r>
      <w:r w:rsidRPr="00702A33">
        <w:rPr>
          <w:rFonts w:cs="Arial"/>
          <w:color w:val="00000A"/>
          <w:szCs w:val="22"/>
        </w:rPr>
        <w:t xml:space="preserve"> : </w:t>
      </w:r>
    </w:p>
    <w:p w:rsidR="00993855" w:rsidRPr="00702A33" w:rsidRDefault="00993855" w:rsidP="00702A33">
      <w:pPr>
        <w:pStyle w:val="western"/>
        <w:spacing w:before="0" w:beforeAutospacing="0" w:after="0" w:line="240" w:lineRule="auto"/>
        <w:jc w:val="both"/>
        <w:rPr>
          <w:rFonts w:ascii="Arial Narrow" w:hAnsi="Arial Narrow" w:cs="Arial"/>
          <w:sz w:val="22"/>
          <w:szCs w:val="22"/>
        </w:rPr>
      </w:pPr>
    </w:p>
    <w:p w:rsidR="00993855" w:rsidRPr="00702A33" w:rsidRDefault="00993855" w:rsidP="00702A33">
      <w:pPr>
        <w:pStyle w:val="western"/>
        <w:spacing w:before="0" w:beforeAutospacing="0" w:after="0" w:line="240" w:lineRule="auto"/>
        <w:jc w:val="both"/>
        <w:rPr>
          <w:rFonts w:ascii="Arial Narrow" w:hAnsi="Arial Narrow" w:cs="Arial"/>
          <w:sz w:val="22"/>
          <w:szCs w:val="22"/>
        </w:rPr>
      </w:pPr>
      <w:r w:rsidRPr="00702A33">
        <w:rPr>
          <w:rFonts w:ascii="Arial Narrow" w:hAnsi="Arial Narrow" w:cs="Arial"/>
          <w:sz w:val="22"/>
          <w:szCs w:val="22"/>
        </w:rPr>
        <w:t>La coordination générale du SDAGT est assurée par l’État.</w:t>
      </w:r>
    </w:p>
    <w:p w:rsidR="00993855" w:rsidRPr="00702A33" w:rsidRDefault="00993855" w:rsidP="00702A33">
      <w:pPr>
        <w:pStyle w:val="western"/>
        <w:spacing w:before="0" w:beforeAutospacing="0" w:after="0" w:line="240" w:lineRule="auto"/>
        <w:jc w:val="both"/>
        <w:rPr>
          <w:rFonts w:ascii="Arial Narrow" w:hAnsi="Arial Narrow"/>
          <w:sz w:val="22"/>
          <w:szCs w:val="22"/>
        </w:rPr>
      </w:pPr>
      <w:r w:rsidRPr="00702A33">
        <w:rPr>
          <w:rFonts w:ascii="Arial Narrow" w:hAnsi="Arial Narrow" w:cs="Arial"/>
          <w:sz w:val="22"/>
          <w:szCs w:val="22"/>
        </w:rPr>
        <w:t xml:space="preserve">Pour assurer le suivi du protocole d'intention, il est mis en place : </w:t>
      </w:r>
    </w:p>
    <w:p w:rsidR="00993855" w:rsidRPr="00702A33" w:rsidRDefault="00993855" w:rsidP="00702A33">
      <w:pPr>
        <w:pStyle w:val="western"/>
        <w:spacing w:before="0" w:beforeAutospacing="0" w:after="0" w:line="240" w:lineRule="auto"/>
        <w:jc w:val="both"/>
        <w:rPr>
          <w:rFonts w:ascii="Arial Narrow" w:hAnsi="Arial Narrow"/>
          <w:sz w:val="22"/>
          <w:szCs w:val="22"/>
        </w:rPr>
      </w:pPr>
    </w:p>
    <w:p w:rsidR="00993855" w:rsidRPr="00702A33" w:rsidRDefault="00993855" w:rsidP="00702A33">
      <w:pPr>
        <w:pStyle w:val="western"/>
        <w:numPr>
          <w:ilvl w:val="0"/>
          <w:numId w:val="9"/>
        </w:numPr>
        <w:spacing w:before="0" w:beforeAutospacing="0" w:after="0" w:line="240" w:lineRule="auto"/>
        <w:ind w:left="709"/>
        <w:jc w:val="both"/>
        <w:rPr>
          <w:rFonts w:ascii="Arial Narrow" w:hAnsi="Arial Narrow"/>
          <w:sz w:val="22"/>
          <w:szCs w:val="22"/>
        </w:rPr>
      </w:pPr>
      <w:r w:rsidRPr="00702A33">
        <w:rPr>
          <w:rFonts w:ascii="Arial Narrow" w:hAnsi="Arial Narrow" w:cs="Arial"/>
          <w:b/>
          <w:bCs/>
          <w:sz w:val="22"/>
          <w:szCs w:val="22"/>
        </w:rPr>
        <w:t xml:space="preserve">Un Comité de coordination stratégique des mobilités </w:t>
      </w:r>
      <w:r w:rsidRPr="00702A33">
        <w:rPr>
          <w:rFonts w:ascii="Arial Narrow" w:hAnsi="Arial Narrow"/>
          <w:sz w:val="22"/>
          <w:szCs w:val="22"/>
        </w:rPr>
        <w:t>q</w:t>
      </w:r>
      <w:r w:rsidRPr="00702A33">
        <w:rPr>
          <w:rFonts w:ascii="Arial Narrow" w:hAnsi="Arial Narrow" w:cs="Arial"/>
          <w:sz w:val="22"/>
          <w:szCs w:val="22"/>
        </w:rPr>
        <w:t>ui regroupe l’État, la Région, le Département et la Métropole. Il définit les orientations globales en termes de mobilité sur l’aire urbaine de Rennes. Des points d’avancement relatifs au SDAGT y sont menés, le cas échéant avec des arbitrages stratégiques.</w:t>
      </w:r>
    </w:p>
    <w:p w:rsidR="00993855" w:rsidRPr="00702A33" w:rsidRDefault="00993855" w:rsidP="00702A33">
      <w:pPr>
        <w:pStyle w:val="western"/>
        <w:spacing w:before="0" w:beforeAutospacing="0" w:after="0" w:line="240" w:lineRule="auto"/>
        <w:jc w:val="both"/>
        <w:rPr>
          <w:rFonts w:ascii="Arial Narrow" w:hAnsi="Arial Narrow"/>
          <w:sz w:val="22"/>
          <w:szCs w:val="22"/>
        </w:rPr>
      </w:pPr>
    </w:p>
    <w:p w:rsidR="00AB3952" w:rsidRPr="00702A33" w:rsidRDefault="00993855" w:rsidP="00702A33">
      <w:pPr>
        <w:pStyle w:val="western"/>
        <w:numPr>
          <w:ilvl w:val="0"/>
          <w:numId w:val="7"/>
        </w:numPr>
        <w:spacing w:before="0" w:beforeAutospacing="0" w:after="0" w:line="240" w:lineRule="auto"/>
        <w:jc w:val="both"/>
        <w:rPr>
          <w:rFonts w:ascii="Arial Narrow" w:hAnsi="Arial Narrow"/>
          <w:sz w:val="22"/>
          <w:szCs w:val="22"/>
        </w:rPr>
      </w:pPr>
      <w:r w:rsidRPr="00702A33">
        <w:rPr>
          <w:rFonts w:ascii="Arial Narrow" w:hAnsi="Arial Narrow" w:cs="Arial"/>
          <w:b/>
          <w:bCs/>
          <w:sz w:val="22"/>
          <w:szCs w:val="22"/>
        </w:rPr>
        <w:t xml:space="preserve">Un Comité de pilotage </w:t>
      </w:r>
      <w:r w:rsidRPr="00702A33">
        <w:rPr>
          <w:rFonts w:ascii="Arial Narrow" w:hAnsi="Arial Narrow"/>
          <w:sz w:val="22"/>
          <w:szCs w:val="22"/>
        </w:rPr>
        <w:t xml:space="preserve">: </w:t>
      </w:r>
      <w:r w:rsidRPr="00702A33">
        <w:rPr>
          <w:rFonts w:ascii="Arial Narrow" w:hAnsi="Arial Narrow" w:cs="Arial"/>
          <w:sz w:val="22"/>
          <w:szCs w:val="22"/>
        </w:rPr>
        <w:t>instance décisionnelle de la mise en œuvre du SDAGT de Rennes, il est composé des représentants des Parties désignés à cet effet et est présidé par le Préfet de la Région Bretagne, ou son représentant.</w:t>
      </w:r>
    </w:p>
    <w:p w:rsidR="00AB3952" w:rsidRPr="00702A33" w:rsidRDefault="00993855" w:rsidP="00702A33">
      <w:pPr>
        <w:pStyle w:val="western"/>
        <w:spacing w:before="0" w:beforeAutospacing="0" w:after="0" w:line="240" w:lineRule="auto"/>
        <w:ind w:left="709"/>
        <w:jc w:val="both"/>
        <w:rPr>
          <w:rFonts w:ascii="Arial Narrow" w:hAnsi="Arial Narrow"/>
          <w:sz w:val="22"/>
          <w:szCs w:val="22"/>
        </w:rPr>
      </w:pPr>
      <w:r w:rsidRPr="00702A33">
        <w:rPr>
          <w:rFonts w:ascii="Arial Narrow" w:hAnsi="Arial Narrow" w:cs="Arial"/>
          <w:sz w:val="22"/>
          <w:szCs w:val="22"/>
        </w:rPr>
        <w:lastRenderedPageBreak/>
        <w:t>Le comité de pilotage arrête notamment les décisions ayant une incidence sur la consistance du programme, les dispositions financières ou le planning prévisionnel du projet.</w:t>
      </w:r>
    </w:p>
    <w:p w:rsidR="00993855" w:rsidRPr="00702A33" w:rsidRDefault="00993855" w:rsidP="00702A33">
      <w:pPr>
        <w:pStyle w:val="western"/>
        <w:spacing w:before="0" w:beforeAutospacing="0" w:after="0" w:line="240" w:lineRule="auto"/>
        <w:ind w:left="709"/>
        <w:jc w:val="both"/>
        <w:rPr>
          <w:rFonts w:ascii="Arial Narrow" w:hAnsi="Arial Narrow"/>
          <w:sz w:val="22"/>
          <w:szCs w:val="22"/>
        </w:rPr>
      </w:pPr>
      <w:r w:rsidRPr="00702A33">
        <w:rPr>
          <w:rFonts w:ascii="Arial Narrow" w:hAnsi="Arial Narrow" w:cs="Arial"/>
          <w:sz w:val="22"/>
          <w:szCs w:val="22"/>
        </w:rPr>
        <w:t>La consistance du programme du SDAGT pourra notamment être actualisée à la lumière :</w:t>
      </w:r>
    </w:p>
    <w:p w:rsidR="00993855" w:rsidRPr="00702A33" w:rsidRDefault="00993855" w:rsidP="00702A33">
      <w:pPr>
        <w:pStyle w:val="western"/>
        <w:numPr>
          <w:ilvl w:val="0"/>
          <w:numId w:val="10"/>
        </w:numPr>
        <w:tabs>
          <w:tab w:val="clear" w:pos="720"/>
          <w:tab w:val="num" w:pos="1418"/>
        </w:tabs>
        <w:spacing w:before="0" w:beforeAutospacing="0" w:after="0" w:line="240" w:lineRule="auto"/>
        <w:ind w:left="1418"/>
        <w:jc w:val="both"/>
        <w:rPr>
          <w:rFonts w:ascii="Arial Narrow" w:hAnsi="Arial Narrow"/>
          <w:sz w:val="22"/>
          <w:szCs w:val="22"/>
        </w:rPr>
      </w:pPr>
      <w:r w:rsidRPr="00702A33">
        <w:rPr>
          <w:rFonts w:ascii="Arial Narrow" w:hAnsi="Arial Narrow" w:cs="Arial"/>
          <w:sz w:val="22"/>
          <w:szCs w:val="22"/>
        </w:rPr>
        <w:t>des résultats des études relatives à l’élaboration d’une stratégie d’information des usagers et à l’évolution des outils d’exploitation ;</w:t>
      </w:r>
    </w:p>
    <w:p w:rsidR="00AB3952" w:rsidRPr="00702A33" w:rsidRDefault="00993855" w:rsidP="00702A33">
      <w:pPr>
        <w:pStyle w:val="western"/>
        <w:numPr>
          <w:ilvl w:val="0"/>
          <w:numId w:val="10"/>
        </w:numPr>
        <w:tabs>
          <w:tab w:val="clear" w:pos="720"/>
          <w:tab w:val="num" w:pos="1418"/>
        </w:tabs>
        <w:spacing w:before="0" w:beforeAutospacing="0" w:after="0" w:line="240" w:lineRule="auto"/>
        <w:ind w:left="1418"/>
        <w:jc w:val="both"/>
        <w:rPr>
          <w:rFonts w:ascii="Arial Narrow" w:hAnsi="Arial Narrow"/>
          <w:sz w:val="22"/>
          <w:szCs w:val="22"/>
        </w:rPr>
      </w:pPr>
      <w:r w:rsidRPr="00702A33">
        <w:rPr>
          <w:rFonts w:ascii="Arial Narrow" w:hAnsi="Arial Narrow" w:cs="Arial"/>
          <w:sz w:val="22"/>
          <w:szCs w:val="22"/>
        </w:rPr>
        <w:t>des apports des nouvelles technologies dans les prochaines années pouvant bénéficier aux usagers de la route et aux gestionnaires routiers.</w:t>
      </w:r>
    </w:p>
    <w:p w:rsidR="00993855" w:rsidRPr="00702A33" w:rsidRDefault="00993855" w:rsidP="00702A33">
      <w:pPr>
        <w:pStyle w:val="western"/>
        <w:spacing w:before="0" w:beforeAutospacing="0" w:after="0" w:line="240" w:lineRule="auto"/>
        <w:ind w:left="709"/>
        <w:jc w:val="both"/>
        <w:rPr>
          <w:rFonts w:ascii="Arial Narrow" w:hAnsi="Arial Narrow"/>
          <w:sz w:val="22"/>
          <w:szCs w:val="22"/>
        </w:rPr>
      </w:pPr>
      <w:r w:rsidRPr="00702A33">
        <w:rPr>
          <w:rFonts w:ascii="Arial Narrow" w:hAnsi="Arial Narrow" w:cs="Arial"/>
          <w:sz w:val="22"/>
          <w:szCs w:val="22"/>
        </w:rPr>
        <w:t xml:space="preserve">Les arbitrages nécessaires sont réalisés après avoir reçu l’unanimité des </w:t>
      </w:r>
      <w:proofErr w:type="spellStart"/>
      <w:r w:rsidRPr="00702A33">
        <w:rPr>
          <w:rFonts w:ascii="Arial Narrow" w:hAnsi="Arial Narrow" w:cs="Arial"/>
          <w:sz w:val="22"/>
          <w:szCs w:val="22"/>
        </w:rPr>
        <w:t>cofinanceurs</w:t>
      </w:r>
      <w:proofErr w:type="spellEnd"/>
      <w:r w:rsidRPr="00702A33">
        <w:rPr>
          <w:rFonts w:ascii="Arial Narrow" w:hAnsi="Arial Narrow" w:cs="Arial"/>
          <w:sz w:val="22"/>
          <w:szCs w:val="22"/>
        </w:rPr>
        <w:t xml:space="preserve"> des mesures et, le cas échéant, la validation du ministère chargé des transports, en particulier en cas de modification de la consistance du programme de SDAGT ou de son estimation.</w:t>
      </w:r>
    </w:p>
    <w:p w:rsidR="00993855" w:rsidRPr="00702A33" w:rsidRDefault="00993855" w:rsidP="00702A33">
      <w:pPr>
        <w:pStyle w:val="western"/>
        <w:spacing w:before="0" w:beforeAutospacing="0" w:after="0" w:line="240" w:lineRule="auto"/>
        <w:jc w:val="both"/>
        <w:rPr>
          <w:rFonts w:ascii="Arial Narrow" w:hAnsi="Arial Narrow"/>
          <w:sz w:val="22"/>
          <w:szCs w:val="22"/>
        </w:rPr>
      </w:pPr>
    </w:p>
    <w:p w:rsidR="009B71F1" w:rsidRPr="00702A33" w:rsidRDefault="009B71F1" w:rsidP="00702A33">
      <w:pPr>
        <w:pStyle w:val="NormalWeb"/>
        <w:numPr>
          <w:ilvl w:val="0"/>
          <w:numId w:val="8"/>
        </w:numPr>
        <w:spacing w:before="0" w:beforeAutospacing="0" w:after="0" w:line="240" w:lineRule="auto"/>
        <w:jc w:val="both"/>
        <w:rPr>
          <w:rFonts w:ascii="Arial Narrow" w:hAnsi="Arial Narrow"/>
          <w:sz w:val="22"/>
          <w:szCs w:val="22"/>
        </w:rPr>
      </w:pPr>
      <w:r w:rsidRPr="00702A33">
        <w:rPr>
          <w:rFonts w:ascii="Arial Narrow" w:hAnsi="Arial Narrow" w:cs="Arial"/>
          <w:b/>
          <w:bCs/>
          <w:sz w:val="22"/>
          <w:szCs w:val="22"/>
        </w:rPr>
        <w:t xml:space="preserve">Un </w:t>
      </w:r>
      <w:r w:rsidR="00993855" w:rsidRPr="00702A33">
        <w:rPr>
          <w:rFonts w:ascii="Arial Narrow" w:hAnsi="Arial Narrow" w:cs="Arial"/>
          <w:b/>
          <w:bCs/>
          <w:sz w:val="22"/>
          <w:szCs w:val="22"/>
        </w:rPr>
        <w:t xml:space="preserve">Comité technique de suivi </w:t>
      </w:r>
      <w:r w:rsidRPr="00702A33">
        <w:rPr>
          <w:rFonts w:ascii="Arial Narrow" w:hAnsi="Arial Narrow" w:cs="Arial"/>
          <w:sz w:val="22"/>
          <w:szCs w:val="22"/>
        </w:rPr>
        <w:t>qui</w:t>
      </w:r>
      <w:r w:rsidR="00993855" w:rsidRPr="00702A33">
        <w:rPr>
          <w:rFonts w:ascii="Arial Narrow" w:hAnsi="Arial Narrow" w:cs="Arial"/>
          <w:sz w:val="22"/>
          <w:szCs w:val="22"/>
        </w:rPr>
        <w:t xml:space="preserve"> vocation à suivre le déroulement des études et des travaux prévus au programme, avec l’ensemble des maîtres d’ouvrage sous les aspects techniques, financiers et de calendrier.</w:t>
      </w:r>
    </w:p>
    <w:p w:rsidR="009B71F1" w:rsidRPr="00702A33" w:rsidRDefault="00993855" w:rsidP="00702A33">
      <w:pPr>
        <w:pStyle w:val="NormalWeb"/>
        <w:spacing w:before="0" w:beforeAutospacing="0" w:after="0" w:line="240" w:lineRule="auto"/>
        <w:ind w:left="709"/>
        <w:jc w:val="both"/>
        <w:rPr>
          <w:rFonts w:ascii="Arial Narrow" w:hAnsi="Arial Narrow" w:cs="Arial"/>
          <w:sz w:val="22"/>
          <w:szCs w:val="22"/>
        </w:rPr>
      </w:pPr>
      <w:r w:rsidRPr="00702A33">
        <w:rPr>
          <w:rFonts w:ascii="Arial Narrow" w:hAnsi="Arial Narrow" w:cs="Arial"/>
          <w:sz w:val="22"/>
          <w:szCs w:val="22"/>
        </w:rPr>
        <w:t>Il est animé par la DIR Ouest, en charge de la coordination de la mise en œuvre du SDAGT. Il est composé des représentants des Parties.</w:t>
      </w:r>
    </w:p>
    <w:p w:rsidR="00993855" w:rsidRPr="00702A33" w:rsidRDefault="00993855" w:rsidP="00702A33">
      <w:pPr>
        <w:pStyle w:val="NormalWeb"/>
        <w:spacing w:before="0" w:beforeAutospacing="0" w:after="0" w:line="240" w:lineRule="auto"/>
        <w:ind w:left="709"/>
        <w:jc w:val="both"/>
        <w:rPr>
          <w:rFonts w:ascii="Arial Narrow" w:hAnsi="Arial Narrow"/>
          <w:sz w:val="22"/>
          <w:szCs w:val="22"/>
        </w:rPr>
      </w:pPr>
      <w:r w:rsidRPr="00702A33">
        <w:rPr>
          <w:rFonts w:ascii="Arial Narrow" w:hAnsi="Arial Narrow" w:cs="Arial"/>
          <w:sz w:val="22"/>
          <w:szCs w:val="22"/>
        </w:rPr>
        <w:t>Le comité technique de suivi assure la préparation des décisions à prendre par le comité de pilotage sur la mise en œuvre du programme. En particulier, toute proposition de modification de la consistance du programme lui sera signalée.</w:t>
      </w:r>
    </w:p>
    <w:p w:rsidR="009B71F1" w:rsidRPr="00702A33" w:rsidRDefault="009B71F1" w:rsidP="00702A33">
      <w:pPr>
        <w:pStyle w:val="western"/>
        <w:spacing w:before="0" w:beforeAutospacing="0" w:after="0" w:line="240" w:lineRule="auto"/>
        <w:jc w:val="both"/>
        <w:rPr>
          <w:rFonts w:ascii="Arial Narrow" w:hAnsi="Arial Narrow" w:cs="Arial"/>
          <w:sz w:val="22"/>
          <w:szCs w:val="22"/>
        </w:rPr>
      </w:pPr>
    </w:p>
    <w:p w:rsidR="00993855" w:rsidRPr="00702A33" w:rsidRDefault="00C83328" w:rsidP="00702A33">
      <w:pPr>
        <w:pStyle w:val="western"/>
        <w:spacing w:before="0" w:beforeAutospacing="0" w:after="0" w:line="240" w:lineRule="auto"/>
        <w:jc w:val="both"/>
        <w:rPr>
          <w:rFonts w:ascii="Arial Narrow" w:hAnsi="Arial Narrow" w:cs="Arial"/>
          <w:sz w:val="22"/>
          <w:szCs w:val="22"/>
        </w:rPr>
      </w:pPr>
      <w:r w:rsidRPr="00702A33">
        <w:rPr>
          <w:rFonts w:ascii="Arial Narrow" w:hAnsi="Arial Narrow" w:cs="Arial"/>
          <w:sz w:val="22"/>
          <w:szCs w:val="22"/>
        </w:rPr>
        <w:t>Les Comités de pilotage et T</w:t>
      </w:r>
      <w:r w:rsidR="00993855" w:rsidRPr="00702A33">
        <w:rPr>
          <w:rFonts w:ascii="Arial Narrow" w:hAnsi="Arial Narrow" w:cs="Arial"/>
          <w:sz w:val="22"/>
          <w:szCs w:val="22"/>
        </w:rPr>
        <w:t>echniques mentionnés ci-dessus sont organisés par l’État. Ce dernier assure la convocation, la rédaction et la diffusion du compte-rendu de ces réunions à l’ensemble des Parties.</w:t>
      </w:r>
    </w:p>
    <w:p w:rsidR="00746708" w:rsidRPr="00702A33" w:rsidRDefault="00746708" w:rsidP="00702A33">
      <w:pPr>
        <w:pStyle w:val="western"/>
        <w:spacing w:before="0" w:beforeAutospacing="0" w:after="0" w:line="240" w:lineRule="auto"/>
        <w:jc w:val="both"/>
        <w:rPr>
          <w:rFonts w:ascii="Arial Narrow" w:hAnsi="Arial Narrow" w:cs="Arial"/>
          <w:sz w:val="22"/>
          <w:szCs w:val="22"/>
        </w:rPr>
      </w:pPr>
    </w:p>
    <w:p w:rsidR="00746708" w:rsidRPr="00702A33" w:rsidRDefault="00702A33" w:rsidP="00702A33">
      <w:pPr>
        <w:jc w:val="both"/>
        <w:rPr>
          <w:rFonts w:cs="Liberation Serif"/>
          <w:color w:val="00000A"/>
          <w:szCs w:val="22"/>
        </w:rPr>
      </w:pPr>
      <w:r w:rsidRPr="00702A33">
        <w:rPr>
          <w:rFonts w:cs="Arial"/>
          <w:color w:val="00000A"/>
          <w:szCs w:val="22"/>
          <w:u w:val="single"/>
        </w:rPr>
        <w:t>Évaluation</w:t>
      </w:r>
      <w:r w:rsidR="00746708" w:rsidRPr="00702A33">
        <w:rPr>
          <w:rFonts w:cs="Arial"/>
          <w:color w:val="00000A"/>
          <w:szCs w:val="22"/>
          <w:u w:val="single"/>
        </w:rPr>
        <w:t xml:space="preserve"> prévisionnel</w:t>
      </w:r>
      <w:r w:rsidR="004D41E9" w:rsidRPr="00702A33">
        <w:rPr>
          <w:rFonts w:cs="Arial"/>
          <w:color w:val="00000A"/>
          <w:szCs w:val="22"/>
          <w:u w:val="single"/>
        </w:rPr>
        <w:t>le</w:t>
      </w:r>
      <w:r w:rsidR="00746708" w:rsidRPr="00702A33">
        <w:rPr>
          <w:rFonts w:cs="Arial"/>
          <w:color w:val="00000A"/>
          <w:szCs w:val="22"/>
          <w:u w:val="single"/>
        </w:rPr>
        <w:t xml:space="preserve"> du programme d'investissement</w:t>
      </w:r>
      <w:r w:rsidR="00746708" w:rsidRPr="00702A33">
        <w:rPr>
          <w:rFonts w:cs="Arial"/>
          <w:color w:val="00000A"/>
          <w:szCs w:val="22"/>
        </w:rPr>
        <w:t xml:space="preserve"> : </w:t>
      </w:r>
    </w:p>
    <w:p w:rsidR="00746708" w:rsidRPr="00702A33" w:rsidRDefault="00746708" w:rsidP="00702A33">
      <w:pPr>
        <w:pStyle w:val="western"/>
        <w:spacing w:before="0" w:beforeAutospacing="0" w:after="0" w:line="240" w:lineRule="auto"/>
        <w:jc w:val="both"/>
        <w:rPr>
          <w:rFonts w:ascii="Arial Narrow" w:hAnsi="Arial Narrow" w:cs="Arial"/>
          <w:sz w:val="22"/>
          <w:szCs w:val="22"/>
        </w:rPr>
      </w:pPr>
    </w:p>
    <w:p w:rsidR="00746708" w:rsidRPr="00702A33" w:rsidRDefault="00746708" w:rsidP="00702A33">
      <w:pPr>
        <w:pStyle w:val="western"/>
        <w:spacing w:before="0" w:beforeAutospacing="0" w:after="0" w:line="240" w:lineRule="auto"/>
        <w:jc w:val="both"/>
        <w:rPr>
          <w:rFonts w:ascii="Arial Narrow" w:hAnsi="Arial Narrow" w:cs="Arial"/>
          <w:sz w:val="22"/>
          <w:szCs w:val="22"/>
        </w:rPr>
      </w:pPr>
      <w:r w:rsidRPr="00702A33">
        <w:rPr>
          <w:rFonts w:ascii="Arial Narrow" w:hAnsi="Arial Narrow" w:cs="Arial"/>
          <w:sz w:val="22"/>
          <w:szCs w:val="22"/>
        </w:rPr>
        <w:t xml:space="preserve">Le montant total prévisionnel du programme des opérations prioritaires du SDAGT de Rennes, inscrites au présent protocole d’intention, est de </w:t>
      </w:r>
      <w:r w:rsidRPr="00702A33">
        <w:rPr>
          <w:rFonts w:ascii="Arial Narrow" w:hAnsi="Arial Narrow" w:cs="Arial"/>
          <w:b/>
          <w:sz w:val="22"/>
          <w:szCs w:val="22"/>
        </w:rPr>
        <w:t>25 Millions d’euros</w:t>
      </w:r>
      <w:r w:rsidRPr="00702A33">
        <w:rPr>
          <w:rFonts w:ascii="Arial Narrow" w:hAnsi="Arial Narrow" w:cs="Arial"/>
          <w:sz w:val="22"/>
          <w:szCs w:val="22"/>
        </w:rPr>
        <w:t>, tous financeurs.</w:t>
      </w:r>
    </w:p>
    <w:p w:rsidR="00746708" w:rsidRPr="00702A33" w:rsidRDefault="00746708" w:rsidP="00702A33">
      <w:pPr>
        <w:pStyle w:val="western"/>
        <w:spacing w:before="0" w:beforeAutospacing="0" w:after="0" w:line="240" w:lineRule="auto"/>
        <w:jc w:val="both"/>
        <w:rPr>
          <w:rFonts w:ascii="Arial Narrow" w:hAnsi="Arial Narrow"/>
          <w:sz w:val="22"/>
          <w:szCs w:val="22"/>
        </w:rPr>
      </w:pPr>
    </w:p>
    <w:p w:rsidR="00746708" w:rsidRPr="00702A33" w:rsidRDefault="00746708" w:rsidP="00702A33">
      <w:pPr>
        <w:pStyle w:val="western"/>
        <w:spacing w:before="0" w:beforeAutospacing="0" w:after="0" w:line="240" w:lineRule="auto"/>
        <w:jc w:val="both"/>
        <w:rPr>
          <w:rFonts w:ascii="Arial Narrow" w:hAnsi="Arial Narrow"/>
          <w:sz w:val="22"/>
          <w:szCs w:val="22"/>
        </w:rPr>
      </w:pPr>
      <w:r w:rsidRPr="00702A33">
        <w:rPr>
          <w:rFonts w:ascii="Arial Narrow" w:hAnsi="Arial Narrow" w:cs="Arial"/>
          <w:sz w:val="22"/>
          <w:szCs w:val="22"/>
        </w:rPr>
        <w:t>Cette enveloppe globale est répartie suivant le périmètre des gestionnaires routiers :</w:t>
      </w:r>
    </w:p>
    <w:p w:rsidR="00746708" w:rsidRPr="00702A33" w:rsidRDefault="00746708" w:rsidP="00702A33">
      <w:pPr>
        <w:pStyle w:val="western"/>
        <w:numPr>
          <w:ilvl w:val="0"/>
          <w:numId w:val="11"/>
        </w:numPr>
        <w:spacing w:before="0" w:beforeAutospacing="0" w:after="0" w:line="240" w:lineRule="auto"/>
        <w:jc w:val="both"/>
        <w:rPr>
          <w:rFonts w:ascii="Arial Narrow" w:hAnsi="Arial Narrow"/>
          <w:sz w:val="22"/>
          <w:szCs w:val="22"/>
        </w:rPr>
      </w:pPr>
      <w:r w:rsidRPr="00702A33">
        <w:rPr>
          <w:rFonts w:ascii="Arial Narrow" w:hAnsi="Arial Narrow" w:cs="Arial"/>
          <w:sz w:val="22"/>
          <w:szCs w:val="22"/>
        </w:rPr>
        <w:t>Mesures sur le périmètre État estimées à 16,75 M€ ;</w:t>
      </w:r>
    </w:p>
    <w:p w:rsidR="00746708" w:rsidRPr="00702A33" w:rsidRDefault="00746708" w:rsidP="00702A33">
      <w:pPr>
        <w:pStyle w:val="western"/>
        <w:numPr>
          <w:ilvl w:val="0"/>
          <w:numId w:val="11"/>
        </w:numPr>
        <w:spacing w:before="0" w:beforeAutospacing="0" w:after="0" w:line="240" w:lineRule="auto"/>
        <w:jc w:val="both"/>
        <w:rPr>
          <w:rFonts w:ascii="Arial Narrow" w:hAnsi="Arial Narrow"/>
          <w:sz w:val="22"/>
          <w:szCs w:val="22"/>
        </w:rPr>
      </w:pPr>
      <w:r w:rsidRPr="00702A33">
        <w:rPr>
          <w:rFonts w:ascii="Arial Narrow" w:hAnsi="Arial Narrow" w:cs="Arial"/>
          <w:sz w:val="22"/>
          <w:szCs w:val="22"/>
        </w:rPr>
        <w:t>Mesures sur le périmètre Rennes Métropole estimées à 4,64 M€ ;</w:t>
      </w:r>
    </w:p>
    <w:p w:rsidR="00746708" w:rsidRPr="00702A33" w:rsidRDefault="00746708" w:rsidP="00702A33">
      <w:pPr>
        <w:pStyle w:val="western"/>
        <w:numPr>
          <w:ilvl w:val="0"/>
          <w:numId w:val="11"/>
        </w:numPr>
        <w:spacing w:before="0" w:beforeAutospacing="0" w:after="0" w:line="240" w:lineRule="auto"/>
        <w:jc w:val="both"/>
        <w:rPr>
          <w:rFonts w:ascii="Arial Narrow" w:hAnsi="Arial Narrow"/>
          <w:sz w:val="22"/>
          <w:szCs w:val="22"/>
        </w:rPr>
      </w:pPr>
      <w:r w:rsidRPr="00702A33">
        <w:rPr>
          <w:rFonts w:ascii="Arial Narrow" w:hAnsi="Arial Narrow" w:cs="Arial"/>
          <w:sz w:val="22"/>
          <w:szCs w:val="22"/>
        </w:rPr>
        <w:t>Mesures sur le périmètre Département estimées à 3,61 M€.</w:t>
      </w:r>
    </w:p>
    <w:p w:rsidR="00746708" w:rsidRPr="00702A33" w:rsidRDefault="00746708" w:rsidP="00702A33">
      <w:pPr>
        <w:pStyle w:val="western"/>
        <w:spacing w:before="0" w:beforeAutospacing="0" w:after="0" w:line="240" w:lineRule="auto"/>
        <w:jc w:val="both"/>
        <w:rPr>
          <w:rFonts w:ascii="Arial Narrow" w:hAnsi="Arial Narrow" w:cs="Arial"/>
          <w:sz w:val="22"/>
          <w:szCs w:val="22"/>
        </w:rPr>
      </w:pPr>
    </w:p>
    <w:p w:rsidR="00746708" w:rsidRDefault="00746708" w:rsidP="00702A33">
      <w:pPr>
        <w:jc w:val="both"/>
        <w:rPr>
          <w:rFonts w:cs="Arial"/>
          <w:color w:val="00000A"/>
          <w:szCs w:val="22"/>
        </w:rPr>
      </w:pPr>
      <w:r w:rsidRPr="00702A33">
        <w:rPr>
          <w:rFonts w:cs="Arial"/>
          <w:color w:val="00000A"/>
          <w:szCs w:val="22"/>
        </w:rPr>
        <w:t xml:space="preserve">Sur la base du programme et des estimations financières </w:t>
      </w:r>
      <w:r w:rsidRPr="00702A33">
        <w:rPr>
          <w:rFonts w:cs="Arial"/>
          <w:color w:val="00000A"/>
          <w:szCs w:val="22"/>
          <w:u w:val="single"/>
        </w:rPr>
        <w:t>les participations des Parties par périmètres de maîtrise d’ouvrage</w:t>
      </w:r>
      <w:r w:rsidRPr="00702A33">
        <w:rPr>
          <w:rFonts w:cs="Arial"/>
          <w:color w:val="00000A"/>
          <w:szCs w:val="22"/>
        </w:rPr>
        <w:t>, dans la limite des montants montant indiqués ci-dessous, sont les suivantes :</w:t>
      </w:r>
    </w:p>
    <w:p w:rsidR="00702A33" w:rsidRDefault="00702A33" w:rsidP="00702A33">
      <w:pPr>
        <w:jc w:val="both"/>
        <w:rPr>
          <w:rFonts w:cs="Arial"/>
          <w:color w:val="00000A"/>
          <w:szCs w:val="22"/>
        </w:rPr>
      </w:pPr>
    </w:p>
    <w:tbl>
      <w:tblPr>
        <w:tblW w:w="9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199"/>
        <w:gridCol w:w="1353"/>
        <w:gridCol w:w="1199"/>
        <w:gridCol w:w="1356"/>
        <w:gridCol w:w="1199"/>
        <w:gridCol w:w="1357"/>
      </w:tblGrid>
      <w:tr w:rsidR="00F403B1" w:rsidRPr="00702A33" w:rsidTr="00702A33">
        <w:trPr>
          <w:jc w:val="center"/>
        </w:trPr>
        <w:tc>
          <w:tcPr>
            <w:tcW w:w="1809" w:type="dxa"/>
            <w:vMerge w:val="restart"/>
            <w:shd w:val="clear" w:color="auto" w:fill="auto"/>
          </w:tcPr>
          <w:p w:rsidR="00F403B1" w:rsidRPr="00702A33" w:rsidRDefault="00F403B1" w:rsidP="00702A33">
            <w:pPr>
              <w:jc w:val="center"/>
              <w:rPr>
                <w:b/>
                <w:color w:val="00000A"/>
                <w:szCs w:val="22"/>
              </w:rPr>
            </w:pPr>
          </w:p>
          <w:p w:rsidR="00F403B1" w:rsidRPr="00702A33" w:rsidRDefault="00F403B1" w:rsidP="00702A33">
            <w:pPr>
              <w:jc w:val="center"/>
              <w:rPr>
                <w:b/>
                <w:color w:val="00000A"/>
                <w:szCs w:val="22"/>
              </w:rPr>
            </w:pPr>
            <w:r w:rsidRPr="00702A33">
              <w:rPr>
                <w:b/>
                <w:color w:val="00000A"/>
                <w:szCs w:val="22"/>
              </w:rPr>
              <w:t>Financeurs</w:t>
            </w:r>
          </w:p>
        </w:tc>
        <w:tc>
          <w:tcPr>
            <w:tcW w:w="2552" w:type="dxa"/>
            <w:gridSpan w:val="2"/>
            <w:shd w:val="clear" w:color="auto" w:fill="auto"/>
          </w:tcPr>
          <w:p w:rsidR="00F403B1" w:rsidRPr="00702A33" w:rsidRDefault="00F403B1" w:rsidP="00702A33">
            <w:pPr>
              <w:jc w:val="center"/>
              <w:rPr>
                <w:b/>
                <w:color w:val="00000A"/>
                <w:szCs w:val="22"/>
              </w:rPr>
            </w:pPr>
            <w:r w:rsidRPr="00702A33">
              <w:rPr>
                <w:b/>
                <w:color w:val="00000A"/>
                <w:szCs w:val="22"/>
              </w:rPr>
              <w:t xml:space="preserve">Périmètre </w:t>
            </w:r>
            <w:r w:rsidR="00702A33" w:rsidRPr="00702A33">
              <w:rPr>
                <w:b/>
                <w:color w:val="00000A"/>
                <w:szCs w:val="22"/>
              </w:rPr>
              <w:t>État</w:t>
            </w:r>
          </w:p>
        </w:tc>
        <w:tc>
          <w:tcPr>
            <w:tcW w:w="2555" w:type="dxa"/>
            <w:gridSpan w:val="2"/>
            <w:shd w:val="clear" w:color="auto" w:fill="auto"/>
          </w:tcPr>
          <w:p w:rsidR="00F403B1" w:rsidRPr="00702A33" w:rsidRDefault="00F403B1" w:rsidP="00702A33">
            <w:pPr>
              <w:jc w:val="center"/>
              <w:rPr>
                <w:b/>
                <w:color w:val="00000A"/>
                <w:szCs w:val="22"/>
              </w:rPr>
            </w:pPr>
            <w:r w:rsidRPr="00702A33">
              <w:rPr>
                <w:b/>
                <w:color w:val="00000A"/>
                <w:szCs w:val="22"/>
              </w:rPr>
              <w:t>Périmètre CD35</w:t>
            </w:r>
          </w:p>
        </w:tc>
        <w:tc>
          <w:tcPr>
            <w:tcW w:w="2556" w:type="dxa"/>
            <w:gridSpan w:val="2"/>
            <w:shd w:val="clear" w:color="auto" w:fill="auto"/>
          </w:tcPr>
          <w:p w:rsidR="00F403B1" w:rsidRPr="00702A33" w:rsidRDefault="00F403B1" w:rsidP="00702A33">
            <w:pPr>
              <w:jc w:val="center"/>
              <w:rPr>
                <w:b/>
                <w:color w:val="00000A"/>
                <w:szCs w:val="22"/>
              </w:rPr>
            </w:pPr>
            <w:r w:rsidRPr="00702A33">
              <w:rPr>
                <w:b/>
                <w:color w:val="00000A"/>
                <w:szCs w:val="22"/>
              </w:rPr>
              <w:t>Périmètre RM</w:t>
            </w:r>
          </w:p>
        </w:tc>
      </w:tr>
      <w:tr w:rsidR="00F403B1" w:rsidRPr="00702A33" w:rsidTr="00702A33">
        <w:trPr>
          <w:jc w:val="center"/>
        </w:trPr>
        <w:tc>
          <w:tcPr>
            <w:tcW w:w="1809" w:type="dxa"/>
            <w:vMerge/>
            <w:shd w:val="clear" w:color="auto" w:fill="auto"/>
          </w:tcPr>
          <w:p w:rsidR="00F403B1" w:rsidRPr="00702A33" w:rsidRDefault="00F403B1" w:rsidP="00702A33">
            <w:pPr>
              <w:jc w:val="center"/>
              <w:rPr>
                <w:b/>
                <w:color w:val="00000A"/>
                <w:szCs w:val="22"/>
              </w:rPr>
            </w:pPr>
          </w:p>
        </w:tc>
        <w:tc>
          <w:tcPr>
            <w:tcW w:w="1199" w:type="dxa"/>
            <w:shd w:val="clear" w:color="auto" w:fill="auto"/>
          </w:tcPr>
          <w:p w:rsidR="00F403B1" w:rsidRPr="00702A33" w:rsidRDefault="00F403B1" w:rsidP="00702A33">
            <w:pPr>
              <w:jc w:val="center"/>
              <w:rPr>
                <w:color w:val="00000A"/>
                <w:szCs w:val="22"/>
              </w:rPr>
            </w:pPr>
            <w:r w:rsidRPr="00702A33">
              <w:rPr>
                <w:color w:val="00000A"/>
                <w:szCs w:val="22"/>
              </w:rPr>
              <w:t>Clé de financement</w:t>
            </w:r>
          </w:p>
        </w:tc>
        <w:tc>
          <w:tcPr>
            <w:tcW w:w="1353" w:type="dxa"/>
            <w:shd w:val="clear" w:color="auto" w:fill="auto"/>
          </w:tcPr>
          <w:p w:rsidR="00F403B1" w:rsidRPr="00702A33" w:rsidRDefault="00F403B1" w:rsidP="00702A33">
            <w:pPr>
              <w:jc w:val="center"/>
              <w:rPr>
                <w:color w:val="00000A"/>
                <w:szCs w:val="22"/>
              </w:rPr>
            </w:pPr>
            <w:r w:rsidRPr="00702A33">
              <w:rPr>
                <w:color w:val="00000A"/>
                <w:szCs w:val="22"/>
              </w:rPr>
              <w:t>Montant indicatif (en €)</w:t>
            </w:r>
          </w:p>
        </w:tc>
        <w:tc>
          <w:tcPr>
            <w:tcW w:w="1199" w:type="dxa"/>
            <w:shd w:val="clear" w:color="auto" w:fill="auto"/>
          </w:tcPr>
          <w:p w:rsidR="00F403B1" w:rsidRPr="00702A33" w:rsidRDefault="00F403B1" w:rsidP="00702A33">
            <w:pPr>
              <w:jc w:val="center"/>
              <w:rPr>
                <w:color w:val="00000A"/>
                <w:szCs w:val="22"/>
              </w:rPr>
            </w:pPr>
            <w:r w:rsidRPr="00702A33">
              <w:rPr>
                <w:color w:val="00000A"/>
                <w:szCs w:val="22"/>
              </w:rPr>
              <w:t>Clé de financement</w:t>
            </w:r>
          </w:p>
        </w:tc>
        <w:tc>
          <w:tcPr>
            <w:tcW w:w="1356" w:type="dxa"/>
            <w:shd w:val="clear" w:color="auto" w:fill="auto"/>
          </w:tcPr>
          <w:p w:rsidR="00F403B1" w:rsidRPr="00702A33" w:rsidRDefault="00F403B1" w:rsidP="00702A33">
            <w:pPr>
              <w:jc w:val="center"/>
              <w:rPr>
                <w:color w:val="00000A"/>
                <w:szCs w:val="22"/>
              </w:rPr>
            </w:pPr>
            <w:r w:rsidRPr="00702A33">
              <w:rPr>
                <w:color w:val="00000A"/>
                <w:szCs w:val="22"/>
              </w:rPr>
              <w:t>Montant indicatif (en €)</w:t>
            </w:r>
          </w:p>
        </w:tc>
        <w:tc>
          <w:tcPr>
            <w:tcW w:w="1199" w:type="dxa"/>
            <w:shd w:val="clear" w:color="auto" w:fill="auto"/>
          </w:tcPr>
          <w:p w:rsidR="00F403B1" w:rsidRPr="00702A33" w:rsidRDefault="00F403B1" w:rsidP="00702A33">
            <w:pPr>
              <w:jc w:val="center"/>
              <w:rPr>
                <w:color w:val="00000A"/>
                <w:szCs w:val="22"/>
              </w:rPr>
            </w:pPr>
            <w:r w:rsidRPr="00702A33">
              <w:rPr>
                <w:color w:val="00000A"/>
                <w:szCs w:val="22"/>
              </w:rPr>
              <w:t>Clé de financement</w:t>
            </w:r>
          </w:p>
        </w:tc>
        <w:tc>
          <w:tcPr>
            <w:tcW w:w="1357" w:type="dxa"/>
            <w:shd w:val="clear" w:color="auto" w:fill="auto"/>
          </w:tcPr>
          <w:p w:rsidR="00F403B1" w:rsidRPr="00702A33" w:rsidRDefault="00F403B1" w:rsidP="00702A33">
            <w:pPr>
              <w:jc w:val="center"/>
              <w:rPr>
                <w:color w:val="00000A"/>
                <w:szCs w:val="22"/>
              </w:rPr>
            </w:pPr>
            <w:r w:rsidRPr="00702A33">
              <w:rPr>
                <w:color w:val="00000A"/>
                <w:szCs w:val="22"/>
              </w:rPr>
              <w:t>Montant indicatif (en €</w:t>
            </w:r>
          </w:p>
        </w:tc>
      </w:tr>
      <w:tr w:rsidR="00746708" w:rsidRPr="00702A33" w:rsidTr="00702A33">
        <w:trPr>
          <w:jc w:val="center"/>
        </w:trPr>
        <w:tc>
          <w:tcPr>
            <w:tcW w:w="1809" w:type="dxa"/>
            <w:shd w:val="clear" w:color="auto" w:fill="auto"/>
          </w:tcPr>
          <w:p w:rsidR="00746708" w:rsidRPr="00702A33" w:rsidRDefault="00746708" w:rsidP="00702A33">
            <w:pPr>
              <w:jc w:val="both"/>
              <w:rPr>
                <w:color w:val="00000A"/>
                <w:szCs w:val="22"/>
              </w:rPr>
            </w:pPr>
            <w:proofErr w:type="spellStart"/>
            <w:r w:rsidRPr="00702A33">
              <w:rPr>
                <w:color w:val="00000A"/>
                <w:szCs w:val="22"/>
              </w:rPr>
              <w:t>Etat</w:t>
            </w:r>
            <w:proofErr w:type="spellEnd"/>
          </w:p>
        </w:tc>
        <w:tc>
          <w:tcPr>
            <w:tcW w:w="1199" w:type="dxa"/>
            <w:shd w:val="clear" w:color="auto" w:fill="auto"/>
          </w:tcPr>
          <w:p w:rsidR="00746708" w:rsidRPr="00702A33" w:rsidRDefault="00746708" w:rsidP="00702A33">
            <w:pPr>
              <w:jc w:val="center"/>
              <w:rPr>
                <w:color w:val="00000A"/>
                <w:szCs w:val="22"/>
              </w:rPr>
            </w:pPr>
            <w:r w:rsidRPr="00702A33">
              <w:rPr>
                <w:color w:val="00000A"/>
                <w:szCs w:val="22"/>
              </w:rPr>
              <w:t>52 %</w:t>
            </w:r>
          </w:p>
        </w:tc>
        <w:tc>
          <w:tcPr>
            <w:tcW w:w="1353" w:type="dxa"/>
            <w:shd w:val="clear" w:color="auto" w:fill="auto"/>
          </w:tcPr>
          <w:p w:rsidR="00746708" w:rsidRPr="00702A33" w:rsidRDefault="00746708" w:rsidP="00702A33">
            <w:pPr>
              <w:jc w:val="center"/>
              <w:rPr>
                <w:color w:val="00000A"/>
                <w:szCs w:val="22"/>
              </w:rPr>
            </w:pPr>
            <w:r w:rsidRPr="00702A33">
              <w:rPr>
                <w:color w:val="00000A"/>
                <w:szCs w:val="22"/>
              </w:rPr>
              <w:t>8 710 000</w:t>
            </w:r>
          </w:p>
        </w:tc>
        <w:tc>
          <w:tcPr>
            <w:tcW w:w="1199" w:type="dxa"/>
            <w:shd w:val="clear" w:color="auto" w:fill="D9D9D9"/>
          </w:tcPr>
          <w:p w:rsidR="00746708" w:rsidRPr="00702A33" w:rsidRDefault="00746708" w:rsidP="00702A33">
            <w:pPr>
              <w:jc w:val="center"/>
              <w:rPr>
                <w:color w:val="00000A"/>
                <w:szCs w:val="22"/>
                <w:highlight w:val="lightGray"/>
              </w:rPr>
            </w:pPr>
          </w:p>
        </w:tc>
        <w:tc>
          <w:tcPr>
            <w:tcW w:w="1356" w:type="dxa"/>
            <w:shd w:val="clear" w:color="auto" w:fill="D9D9D9"/>
          </w:tcPr>
          <w:p w:rsidR="00746708" w:rsidRPr="00702A33" w:rsidRDefault="00746708" w:rsidP="00702A33">
            <w:pPr>
              <w:jc w:val="center"/>
              <w:rPr>
                <w:color w:val="00000A"/>
                <w:szCs w:val="22"/>
                <w:highlight w:val="lightGray"/>
              </w:rPr>
            </w:pPr>
          </w:p>
        </w:tc>
        <w:tc>
          <w:tcPr>
            <w:tcW w:w="1199" w:type="dxa"/>
            <w:shd w:val="clear" w:color="auto" w:fill="D9D9D9"/>
          </w:tcPr>
          <w:p w:rsidR="00746708" w:rsidRPr="00702A33" w:rsidRDefault="00746708" w:rsidP="00702A33">
            <w:pPr>
              <w:jc w:val="center"/>
              <w:rPr>
                <w:color w:val="00000A"/>
                <w:szCs w:val="22"/>
                <w:highlight w:val="lightGray"/>
              </w:rPr>
            </w:pPr>
          </w:p>
        </w:tc>
        <w:tc>
          <w:tcPr>
            <w:tcW w:w="1357" w:type="dxa"/>
            <w:shd w:val="clear" w:color="auto" w:fill="D9D9D9"/>
          </w:tcPr>
          <w:p w:rsidR="00746708" w:rsidRPr="00702A33" w:rsidRDefault="00746708" w:rsidP="00702A33">
            <w:pPr>
              <w:jc w:val="center"/>
              <w:rPr>
                <w:color w:val="00000A"/>
                <w:szCs w:val="22"/>
                <w:highlight w:val="lightGray"/>
              </w:rPr>
            </w:pPr>
          </w:p>
        </w:tc>
      </w:tr>
      <w:tr w:rsidR="00746708" w:rsidRPr="00702A33" w:rsidTr="00702A33">
        <w:trPr>
          <w:jc w:val="center"/>
        </w:trPr>
        <w:tc>
          <w:tcPr>
            <w:tcW w:w="1809" w:type="dxa"/>
            <w:shd w:val="clear" w:color="auto" w:fill="auto"/>
          </w:tcPr>
          <w:p w:rsidR="00746708" w:rsidRPr="00702A33" w:rsidRDefault="00746708" w:rsidP="00702A33">
            <w:pPr>
              <w:jc w:val="both"/>
              <w:rPr>
                <w:color w:val="00000A"/>
                <w:szCs w:val="22"/>
              </w:rPr>
            </w:pPr>
            <w:r w:rsidRPr="00702A33">
              <w:rPr>
                <w:color w:val="00000A"/>
                <w:szCs w:val="22"/>
              </w:rPr>
              <w:t>Région Bretagne</w:t>
            </w:r>
          </w:p>
        </w:tc>
        <w:tc>
          <w:tcPr>
            <w:tcW w:w="1199" w:type="dxa"/>
            <w:shd w:val="clear" w:color="auto" w:fill="auto"/>
          </w:tcPr>
          <w:p w:rsidR="00746708" w:rsidRPr="00702A33" w:rsidRDefault="00746708" w:rsidP="00702A33">
            <w:pPr>
              <w:jc w:val="center"/>
              <w:rPr>
                <w:color w:val="00000A"/>
                <w:szCs w:val="22"/>
              </w:rPr>
            </w:pPr>
            <w:r w:rsidRPr="00702A33">
              <w:rPr>
                <w:color w:val="00000A"/>
                <w:szCs w:val="22"/>
              </w:rPr>
              <w:t>24 %</w:t>
            </w:r>
          </w:p>
        </w:tc>
        <w:tc>
          <w:tcPr>
            <w:tcW w:w="1353" w:type="dxa"/>
            <w:shd w:val="clear" w:color="auto" w:fill="auto"/>
          </w:tcPr>
          <w:p w:rsidR="00746708" w:rsidRPr="00702A33" w:rsidRDefault="00746708" w:rsidP="00702A33">
            <w:pPr>
              <w:jc w:val="center"/>
              <w:rPr>
                <w:color w:val="00000A"/>
                <w:szCs w:val="22"/>
              </w:rPr>
            </w:pPr>
            <w:r w:rsidRPr="00702A33">
              <w:rPr>
                <w:color w:val="00000A"/>
                <w:szCs w:val="22"/>
              </w:rPr>
              <w:t>4 020 000</w:t>
            </w:r>
          </w:p>
        </w:tc>
        <w:tc>
          <w:tcPr>
            <w:tcW w:w="1199" w:type="dxa"/>
            <w:shd w:val="clear" w:color="auto" w:fill="D9D9D9"/>
          </w:tcPr>
          <w:p w:rsidR="00746708" w:rsidRPr="00702A33" w:rsidRDefault="00746708" w:rsidP="00702A33">
            <w:pPr>
              <w:jc w:val="center"/>
              <w:rPr>
                <w:color w:val="00000A"/>
                <w:szCs w:val="22"/>
              </w:rPr>
            </w:pPr>
          </w:p>
        </w:tc>
        <w:tc>
          <w:tcPr>
            <w:tcW w:w="1356" w:type="dxa"/>
            <w:shd w:val="clear" w:color="auto" w:fill="D9D9D9"/>
          </w:tcPr>
          <w:p w:rsidR="00746708" w:rsidRPr="00702A33" w:rsidRDefault="00746708" w:rsidP="00702A33">
            <w:pPr>
              <w:jc w:val="center"/>
              <w:rPr>
                <w:color w:val="00000A"/>
                <w:szCs w:val="22"/>
              </w:rPr>
            </w:pPr>
          </w:p>
        </w:tc>
        <w:tc>
          <w:tcPr>
            <w:tcW w:w="1199" w:type="dxa"/>
            <w:shd w:val="clear" w:color="auto" w:fill="D9D9D9"/>
          </w:tcPr>
          <w:p w:rsidR="00746708" w:rsidRPr="00702A33" w:rsidRDefault="00746708" w:rsidP="00702A33">
            <w:pPr>
              <w:jc w:val="center"/>
              <w:rPr>
                <w:color w:val="00000A"/>
                <w:szCs w:val="22"/>
              </w:rPr>
            </w:pPr>
          </w:p>
        </w:tc>
        <w:tc>
          <w:tcPr>
            <w:tcW w:w="1357" w:type="dxa"/>
            <w:shd w:val="clear" w:color="auto" w:fill="D9D9D9"/>
          </w:tcPr>
          <w:p w:rsidR="00746708" w:rsidRPr="00702A33" w:rsidRDefault="00746708" w:rsidP="00702A33">
            <w:pPr>
              <w:jc w:val="center"/>
              <w:rPr>
                <w:color w:val="00000A"/>
                <w:szCs w:val="22"/>
              </w:rPr>
            </w:pPr>
          </w:p>
        </w:tc>
      </w:tr>
      <w:tr w:rsidR="00746708" w:rsidRPr="00702A33" w:rsidTr="00702A33">
        <w:trPr>
          <w:jc w:val="center"/>
        </w:trPr>
        <w:tc>
          <w:tcPr>
            <w:tcW w:w="1809" w:type="dxa"/>
            <w:shd w:val="clear" w:color="auto" w:fill="auto"/>
          </w:tcPr>
          <w:p w:rsidR="00746708" w:rsidRPr="00702A33" w:rsidRDefault="00746708" w:rsidP="00702A33">
            <w:pPr>
              <w:jc w:val="both"/>
              <w:rPr>
                <w:color w:val="00000A"/>
                <w:szCs w:val="22"/>
              </w:rPr>
            </w:pPr>
            <w:r w:rsidRPr="00702A33">
              <w:rPr>
                <w:color w:val="00000A"/>
                <w:szCs w:val="22"/>
              </w:rPr>
              <w:t>Département Ille et Vilaine</w:t>
            </w:r>
          </w:p>
        </w:tc>
        <w:tc>
          <w:tcPr>
            <w:tcW w:w="1199" w:type="dxa"/>
            <w:shd w:val="clear" w:color="auto" w:fill="auto"/>
          </w:tcPr>
          <w:p w:rsidR="00746708" w:rsidRPr="00702A33" w:rsidRDefault="00746708" w:rsidP="00702A33">
            <w:pPr>
              <w:jc w:val="center"/>
              <w:rPr>
                <w:color w:val="00000A"/>
                <w:szCs w:val="22"/>
              </w:rPr>
            </w:pPr>
            <w:r w:rsidRPr="00702A33">
              <w:rPr>
                <w:color w:val="00000A"/>
                <w:szCs w:val="22"/>
              </w:rPr>
              <w:t>12 %</w:t>
            </w:r>
          </w:p>
        </w:tc>
        <w:tc>
          <w:tcPr>
            <w:tcW w:w="1353" w:type="dxa"/>
            <w:shd w:val="clear" w:color="auto" w:fill="auto"/>
          </w:tcPr>
          <w:p w:rsidR="00746708" w:rsidRPr="00702A33" w:rsidRDefault="00746708" w:rsidP="00702A33">
            <w:pPr>
              <w:jc w:val="center"/>
              <w:rPr>
                <w:color w:val="00000A"/>
                <w:szCs w:val="22"/>
              </w:rPr>
            </w:pPr>
            <w:r w:rsidRPr="00702A33">
              <w:rPr>
                <w:color w:val="00000A"/>
                <w:szCs w:val="22"/>
              </w:rPr>
              <w:t>2 010 000</w:t>
            </w:r>
          </w:p>
        </w:tc>
        <w:tc>
          <w:tcPr>
            <w:tcW w:w="1199" w:type="dxa"/>
            <w:shd w:val="clear" w:color="auto" w:fill="auto"/>
          </w:tcPr>
          <w:p w:rsidR="00746708" w:rsidRPr="00702A33" w:rsidRDefault="00F403B1" w:rsidP="00702A33">
            <w:pPr>
              <w:jc w:val="center"/>
              <w:rPr>
                <w:color w:val="00000A"/>
                <w:szCs w:val="22"/>
              </w:rPr>
            </w:pPr>
            <w:r w:rsidRPr="00702A33">
              <w:rPr>
                <w:color w:val="00000A"/>
                <w:szCs w:val="22"/>
              </w:rPr>
              <w:t>50 %</w:t>
            </w:r>
          </w:p>
        </w:tc>
        <w:tc>
          <w:tcPr>
            <w:tcW w:w="1356" w:type="dxa"/>
            <w:shd w:val="clear" w:color="auto" w:fill="auto"/>
          </w:tcPr>
          <w:p w:rsidR="00746708" w:rsidRPr="00702A33" w:rsidRDefault="00F403B1" w:rsidP="00702A33">
            <w:pPr>
              <w:jc w:val="center"/>
              <w:rPr>
                <w:color w:val="00000A"/>
                <w:szCs w:val="22"/>
              </w:rPr>
            </w:pPr>
            <w:r w:rsidRPr="00702A33">
              <w:rPr>
                <w:color w:val="00000A"/>
                <w:szCs w:val="22"/>
              </w:rPr>
              <w:t>1 805 000</w:t>
            </w:r>
          </w:p>
        </w:tc>
        <w:tc>
          <w:tcPr>
            <w:tcW w:w="1199" w:type="dxa"/>
            <w:shd w:val="clear" w:color="auto" w:fill="auto"/>
          </w:tcPr>
          <w:p w:rsidR="00746708" w:rsidRPr="00702A33" w:rsidRDefault="00F403B1" w:rsidP="00702A33">
            <w:pPr>
              <w:jc w:val="center"/>
              <w:rPr>
                <w:color w:val="00000A"/>
                <w:szCs w:val="22"/>
              </w:rPr>
            </w:pPr>
            <w:r w:rsidRPr="00702A33">
              <w:rPr>
                <w:color w:val="00000A"/>
                <w:szCs w:val="22"/>
              </w:rPr>
              <w:t>50 %</w:t>
            </w:r>
          </w:p>
        </w:tc>
        <w:tc>
          <w:tcPr>
            <w:tcW w:w="1357" w:type="dxa"/>
            <w:shd w:val="clear" w:color="auto" w:fill="auto"/>
          </w:tcPr>
          <w:p w:rsidR="00746708" w:rsidRPr="00702A33" w:rsidRDefault="00F403B1" w:rsidP="00702A33">
            <w:pPr>
              <w:jc w:val="center"/>
              <w:rPr>
                <w:color w:val="00000A"/>
                <w:szCs w:val="22"/>
              </w:rPr>
            </w:pPr>
            <w:r w:rsidRPr="00702A33">
              <w:rPr>
                <w:color w:val="00000A"/>
                <w:szCs w:val="22"/>
              </w:rPr>
              <w:t>2 320 000</w:t>
            </w:r>
          </w:p>
        </w:tc>
      </w:tr>
      <w:tr w:rsidR="00F403B1" w:rsidRPr="00702A33" w:rsidTr="00702A33">
        <w:trPr>
          <w:jc w:val="center"/>
        </w:trPr>
        <w:tc>
          <w:tcPr>
            <w:tcW w:w="1809" w:type="dxa"/>
            <w:shd w:val="clear" w:color="auto" w:fill="auto"/>
          </w:tcPr>
          <w:p w:rsidR="00F403B1" w:rsidRPr="00702A33" w:rsidRDefault="00F403B1" w:rsidP="00702A33">
            <w:pPr>
              <w:jc w:val="both"/>
              <w:rPr>
                <w:color w:val="00000A"/>
                <w:szCs w:val="22"/>
              </w:rPr>
            </w:pPr>
            <w:r w:rsidRPr="00702A33">
              <w:rPr>
                <w:color w:val="00000A"/>
                <w:szCs w:val="22"/>
              </w:rPr>
              <w:t>Rennes Métropole</w:t>
            </w:r>
          </w:p>
        </w:tc>
        <w:tc>
          <w:tcPr>
            <w:tcW w:w="1199" w:type="dxa"/>
            <w:shd w:val="clear" w:color="auto" w:fill="auto"/>
          </w:tcPr>
          <w:p w:rsidR="00F403B1" w:rsidRPr="00702A33" w:rsidRDefault="00F403B1" w:rsidP="00702A33">
            <w:pPr>
              <w:jc w:val="center"/>
              <w:rPr>
                <w:color w:val="00000A"/>
                <w:szCs w:val="22"/>
              </w:rPr>
            </w:pPr>
            <w:r w:rsidRPr="00702A33">
              <w:rPr>
                <w:color w:val="00000A"/>
                <w:szCs w:val="22"/>
              </w:rPr>
              <w:t>12 %</w:t>
            </w:r>
          </w:p>
        </w:tc>
        <w:tc>
          <w:tcPr>
            <w:tcW w:w="1353" w:type="dxa"/>
            <w:shd w:val="clear" w:color="auto" w:fill="auto"/>
          </w:tcPr>
          <w:p w:rsidR="00F403B1" w:rsidRPr="00702A33" w:rsidRDefault="00F403B1" w:rsidP="00702A33">
            <w:pPr>
              <w:jc w:val="center"/>
              <w:rPr>
                <w:color w:val="00000A"/>
                <w:szCs w:val="22"/>
              </w:rPr>
            </w:pPr>
            <w:r w:rsidRPr="00702A33">
              <w:rPr>
                <w:color w:val="00000A"/>
                <w:szCs w:val="22"/>
              </w:rPr>
              <w:t>2 010 000</w:t>
            </w:r>
          </w:p>
        </w:tc>
        <w:tc>
          <w:tcPr>
            <w:tcW w:w="1199" w:type="dxa"/>
            <w:shd w:val="clear" w:color="auto" w:fill="auto"/>
          </w:tcPr>
          <w:p w:rsidR="00F403B1" w:rsidRPr="00702A33" w:rsidRDefault="00F403B1" w:rsidP="00702A33">
            <w:pPr>
              <w:jc w:val="center"/>
              <w:rPr>
                <w:color w:val="00000A"/>
                <w:szCs w:val="22"/>
              </w:rPr>
            </w:pPr>
            <w:r w:rsidRPr="00702A33">
              <w:rPr>
                <w:color w:val="00000A"/>
                <w:szCs w:val="22"/>
              </w:rPr>
              <w:t>50 %</w:t>
            </w:r>
          </w:p>
        </w:tc>
        <w:tc>
          <w:tcPr>
            <w:tcW w:w="1356" w:type="dxa"/>
            <w:shd w:val="clear" w:color="auto" w:fill="auto"/>
          </w:tcPr>
          <w:p w:rsidR="00F403B1" w:rsidRPr="00702A33" w:rsidRDefault="00F403B1" w:rsidP="00702A33">
            <w:pPr>
              <w:jc w:val="center"/>
              <w:rPr>
                <w:color w:val="00000A"/>
                <w:szCs w:val="22"/>
              </w:rPr>
            </w:pPr>
            <w:r w:rsidRPr="00702A33">
              <w:rPr>
                <w:color w:val="00000A"/>
                <w:szCs w:val="22"/>
              </w:rPr>
              <w:t>1 805 000</w:t>
            </w:r>
          </w:p>
        </w:tc>
        <w:tc>
          <w:tcPr>
            <w:tcW w:w="1199" w:type="dxa"/>
            <w:shd w:val="clear" w:color="auto" w:fill="auto"/>
          </w:tcPr>
          <w:p w:rsidR="00F403B1" w:rsidRPr="00702A33" w:rsidRDefault="00F403B1" w:rsidP="00702A33">
            <w:pPr>
              <w:jc w:val="center"/>
              <w:rPr>
                <w:color w:val="00000A"/>
                <w:szCs w:val="22"/>
              </w:rPr>
            </w:pPr>
            <w:r w:rsidRPr="00702A33">
              <w:rPr>
                <w:color w:val="00000A"/>
                <w:szCs w:val="22"/>
              </w:rPr>
              <w:t>50 %</w:t>
            </w:r>
          </w:p>
        </w:tc>
        <w:tc>
          <w:tcPr>
            <w:tcW w:w="1357" w:type="dxa"/>
            <w:shd w:val="clear" w:color="auto" w:fill="auto"/>
          </w:tcPr>
          <w:p w:rsidR="00F403B1" w:rsidRPr="00702A33" w:rsidRDefault="00F403B1" w:rsidP="00702A33">
            <w:pPr>
              <w:jc w:val="center"/>
              <w:rPr>
                <w:color w:val="00000A"/>
                <w:szCs w:val="22"/>
              </w:rPr>
            </w:pPr>
            <w:r w:rsidRPr="00702A33">
              <w:rPr>
                <w:color w:val="00000A"/>
                <w:szCs w:val="22"/>
              </w:rPr>
              <w:t>2 320 000</w:t>
            </w:r>
          </w:p>
        </w:tc>
      </w:tr>
      <w:tr w:rsidR="00746708" w:rsidRPr="00702A33" w:rsidTr="00702A33">
        <w:trPr>
          <w:jc w:val="center"/>
        </w:trPr>
        <w:tc>
          <w:tcPr>
            <w:tcW w:w="1809" w:type="dxa"/>
            <w:shd w:val="clear" w:color="auto" w:fill="auto"/>
          </w:tcPr>
          <w:p w:rsidR="00746708" w:rsidRPr="00702A33" w:rsidRDefault="00F403B1" w:rsidP="00702A33">
            <w:pPr>
              <w:jc w:val="both"/>
              <w:rPr>
                <w:b/>
                <w:color w:val="00000A"/>
                <w:szCs w:val="22"/>
              </w:rPr>
            </w:pPr>
            <w:r w:rsidRPr="00702A33">
              <w:rPr>
                <w:b/>
                <w:color w:val="00000A"/>
                <w:szCs w:val="22"/>
              </w:rPr>
              <w:t>TOTAL</w:t>
            </w:r>
          </w:p>
        </w:tc>
        <w:tc>
          <w:tcPr>
            <w:tcW w:w="1199" w:type="dxa"/>
            <w:shd w:val="clear" w:color="auto" w:fill="auto"/>
          </w:tcPr>
          <w:p w:rsidR="00746708" w:rsidRPr="00702A33" w:rsidRDefault="00F403B1" w:rsidP="00702A33">
            <w:pPr>
              <w:jc w:val="center"/>
              <w:rPr>
                <w:b/>
                <w:color w:val="00000A"/>
                <w:szCs w:val="22"/>
              </w:rPr>
            </w:pPr>
            <w:r w:rsidRPr="00702A33">
              <w:rPr>
                <w:b/>
                <w:color w:val="00000A"/>
                <w:szCs w:val="22"/>
              </w:rPr>
              <w:t>100 %</w:t>
            </w:r>
          </w:p>
        </w:tc>
        <w:tc>
          <w:tcPr>
            <w:tcW w:w="1353" w:type="dxa"/>
            <w:shd w:val="clear" w:color="auto" w:fill="auto"/>
          </w:tcPr>
          <w:p w:rsidR="00746708" w:rsidRPr="00702A33" w:rsidRDefault="00F403B1" w:rsidP="00702A33">
            <w:pPr>
              <w:jc w:val="center"/>
              <w:rPr>
                <w:b/>
                <w:color w:val="00000A"/>
                <w:szCs w:val="22"/>
              </w:rPr>
            </w:pPr>
            <w:r w:rsidRPr="00702A33">
              <w:rPr>
                <w:b/>
                <w:color w:val="00000A"/>
                <w:szCs w:val="22"/>
              </w:rPr>
              <w:t>16 750 000</w:t>
            </w:r>
          </w:p>
        </w:tc>
        <w:tc>
          <w:tcPr>
            <w:tcW w:w="1199" w:type="dxa"/>
            <w:shd w:val="clear" w:color="auto" w:fill="auto"/>
          </w:tcPr>
          <w:p w:rsidR="00746708" w:rsidRPr="00702A33" w:rsidRDefault="00F403B1" w:rsidP="00702A33">
            <w:pPr>
              <w:jc w:val="center"/>
              <w:rPr>
                <w:b/>
                <w:color w:val="00000A"/>
                <w:szCs w:val="22"/>
              </w:rPr>
            </w:pPr>
            <w:r w:rsidRPr="00702A33">
              <w:rPr>
                <w:b/>
                <w:color w:val="00000A"/>
                <w:szCs w:val="22"/>
              </w:rPr>
              <w:t>100 %</w:t>
            </w:r>
          </w:p>
        </w:tc>
        <w:tc>
          <w:tcPr>
            <w:tcW w:w="1356" w:type="dxa"/>
            <w:shd w:val="clear" w:color="auto" w:fill="auto"/>
          </w:tcPr>
          <w:p w:rsidR="00746708" w:rsidRPr="00702A33" w:rsidRDefault="00F403B1" w:rsidP="00702A33">
            <w:pPr>
              <w:jc w:val="center"/>
              <w:rPr>
                <w:b/>
                <w:color w:val="00000A"/>
                <w:szCs w:val="22"/>
              </w:rPr>
            </w:pPr>
            <w:r w:rsidRPr="00702A33">
              <w:rPr>
                <w:b/>
                <w:color w:val="00000A"/>
                <w:szCs w:val="22"/>
              </w:rPr>
              <w:t>3 610 000</w:t>
            </w:r>
          </w:p>
        </w:tc>
        <w:tc>
          <w:tcPr>
            <w:tcW w:w="1199" w:type="dxa"/>
            <w:shd w:val="clear" w:color="auto" w:fill="auto"/>
          </w:tcPr>
          <w:p w:rsidR="00746708" w:rsidRPr="00702A33" w:rsidRDefault="00F403B1" w:rsidP="00702A33">
            <w:pPr>
              <w:jc w:val="center"/>
              <w:rPr>
                <w:b/>
                <w:color w:val="00000A"/>
                <w:szCs w:val="22"/>
              </w:rPr>
            </w:pPr>
            <w:r w:rsidRPr="00702A33">
              <w:rPr>
                <w:b/>
                <w:color w:val="00000A"/>
                <w:szCs w:val="22"/>
              </w:rPr>
              <w:t>100 %</w:t>
            </w:r>
          </w:p>
        </w:tc>
        <w:tc>
          <w:tcPr>
            <w:tcW w:w="1357" w:type="dxa"/>
            <w:shd w:val="clear" w:color="auto" w:fill="auto"/>
          </w:tcPr>
          <w:p w:rsidR="00746708" w:rsidRPr="00702A33" w:rsidRDefault="00F403B1" w:rsidP="00702A33">
            <w:pPr>
              <w:jc w:val="center"/>
              <w:rPr>
                <w:b/>
                <w:color w:val="00000A"/>
                <w:szCs w:val="22"/>
              </w:rPr>
            </w:pPr>
            <w:r w:rsidRPr="00702A33">
              <w:rPr>
                <w:b/>
                <w:color w:val="00000A"/>
                <w:szCs w:val="22"/>
              </w:rPr>
              <w:t>4 640 000</w:t>
            </w:r>
          </w:p>
        </w:tc>
      </w:tr>
    </w:tbl>
    <w:p w:rsidR="00746708" w:rsidRPr="00702A33" w:rsidRDefault="00746708" w:rsidP="00702A33">
      <w:pPr>
        <w:jc w:val="both"/>
        <w:rPr>
          <w:rFonts w:cs="Liberation Serif"/>
          <w:color w:val="00000A"/>
          <w:szCs w:val="22"/>
        </w:rPr>
      </w:pPr>
    </w:p>
    <w:p w:rsidR="002E6E58" w:rsidRDefault="00702A33" w:rsidP="00702A33">
      <w:pPr>
        <w:jc w:val="both"/>
        <w:rPr>
          <w:rFonts w:cs="Arial"/>
          <w:color w:val="00000A"/>
          <w:szCs w:val="22"/>
        </w:rPr>
      </w:pPr>
      <w:r w:rsidRPr="00702A33">
        <w:rPr>
          <w:rFonts w:cs="Arial"/>
          <w:color w:val="00000A"/>
          <w:szCs w:val="22"/>
        </w:rPr>
        <w:t>À</w:t>
      </w:r>
      <w:r w:rsidR="002E6E58" w:rsidRPr="00702A33">
        <w:rPr>
          <w:rFonts w:cs="Arial"/>
          <w:color w:val="00000A"/>
          <w:szCs w:val="22"/>
        </w:rPr>
        <w:t xml:space="preserve"> titre indicatif, sur la base des estimations prévisionnelles, </w:t>
      </w:r>
      <w:r w:rsidR="002E6E58" w:rsidRPr="00702A33">
        <w:rPr>
          <w:rFonts w:cs="Arial"/>
          <w:color w:val="00000A"/>
          <w:szCs w:val="22"/>
          <w:u w:val="single"/>
        </w:rPr>
        <w:t>le total des participations</w:t>
      </w:r>
      <w:r w:rsidR="002E6E58" w:rsidRPr="00702A33">
        <w:rPr>
          <w:rFonts w:cs="Arial"/>
          <w:color w:val="00000A"/>
          <w:szCs w:val="22"/>
        </w:rPr>
        <w:t xml:space="preserve"> revient pour chaque Partie aux montants suivants :</w:t>
      </w:r>
    </w:p>
    <w:p w:rsidR="00702A33" w:rsidRDefault="00702A33" w:rsidP="00702A33">
      <w:pPr>
        <w:jc w:val="both"/>
        <w:rPr>
          <w:rFonts w:cs="Arial"/>
          <w:color w:val="00000A"/>
          <w:szCs w:val="22"/>
        </w:rPr>
      </w:pPr>
    </w:p>
    <w:p w:rsidR="00640402" w:rsidRPr="00702A33" w:rsidRDefault="00640402" w:rsidP="00702A33">
      <w:pPr>
        <w:jc w:val="both"/>
        <w:rPr>
          <w:rFonts w:cs="Arial"/>
          <w:color w:val="00000A"/>
          <w:szCs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1843"/>
        <w:gridCol w:w="3543"/>
      </w:tblGrid>
      <w:tr w:rsidR="002E6E58" w:rsidRPr="00702A33" w:rsidTr="00702A33">
        <w:trPr>
          <w:jc w:val="center"/>
        </w:trPr>
        <w:tc>
          <w:tcPr>
            <w:tcW w:w="3794" w:type="dxa"/>
            <w:shd w:val="clear" w:color="auto" w:fill="auto"/>
          </w:tcPr>
          <w:p w:rsidR="002E6E58" w:rsidRPr="00702A33" w:rsidRDefault="002E6E58" w:rsidP="00702A33">
            <w:pPr>
              <w:jc w:val="center"/>
              <w:rPr>
                <w:rFonts w:cs="Arial"/>
                <w:b/>
                <w:color w:val="00000A"/>
                <w:szCs w:val="22"/>
              </w:rPr>
            </w:pPr>
            <w:r w:rsidRPr="00702A33">
              <w:rPr>
                <w:rFonts w:cs="Arial"/>
                <w:b/>
                <w:color w:val="00000A"/>
                <w:szCs w:val="22"/>
              </w:rPr>
              <w:lastRenderedPageBreak/>
              <w:t>Financeurs</w:t>
            </w:r>
          </w:p>
        </w:tc>
        <w:tc>
          <w:tcPr>
            <w:tcW w:w="1843" w:type="dxa"/>
            <w:shd w:val="clear" w:color="auto" w:fill="auto"/>
          </w:tcPr>
          <w:p w:rsidR="002E6E58" w:rsidRPr="00702A33" w:rsidRDefault="002E6E58" w:rsidP="00702A33">
            <w:pPr>
              <w:jc w:val="center"/>
              <w:rPr>
                <w:rFonts w:cs="Arial"/>
                <w:b/>
                <w:color w:val="00000A"/>
                <w:szCs w:val="22"/>
              </w:rPr>
            </w:pPr>
            <w:r w:rsidRPr="00702A33">
              <w:rPr>
                <w:rFonts w:cs="Arial"/>
                <w:b/>
                <w:color w:val="00000A"/>
                <w:szCs w:val="22"/>
              </w:rPr>
              <w:t>Clé de financement</w:t>
            </w:r>
          </w:p>
        </w:tc>
        <w:tc>
          <w:tcPr>
            <w:tcW w:w="3543" w:type="dxa"/>
            <w:shd w:val="clear" w:color="auto" w:fill="auto"/>
          </w:tcPr>
          <w:p w:rsidR="002E6E58" w:rsidRPr="00702A33" w:rsidRDefault="002E6E58" w:rsidP="00702A33">
            <w:pPr>
              <w:jc w:val="center"/>
              <w:rPr>
                <w:rFonts w:cs="Arial"/>
                <w:b/>
                <w:color w:val="00000A"/>
                <w:szCs w:val="22"/>
              </w:rPr>
            </w:pPr>
            <w:r w:rsidRPr="00702A33">
              <w:rPr>
                <w:rFonts w:cs="Arial"/>
                <w:b/>
                <w:color w:val="00000A"/>
                <w:szCs w:val="22"/>
              </w:rPr>
              <w:t>Montant indicatif contribution totale</w:t>
            </w:r>
          </w:p>
        </w:tc>
      </w:tr>
      <w:tr w:rsidR="002E6E58" w:rsidRPr="00702A33" w:rsidTr="00702A33">
        <w:trPr>
          <w:jc w:val="center"/>
        </w:trPr>
        <w:tc>
          <w:tcPr>
            <w:tcW w:w="3794" w:type="dxa"/>
            <w:shd w:val="clear" w:color="auto" w:fill="auto"/>
          </w:tcPr>
          <w:p w:rsidR="002E6E58" w:rsidRPr="00702A33" w:rsidRDefault="002E6E58" w:rsidP="00702A33">
            <w:pPr>
              <w:jc w:val="center"/>
              <w:rPr>
                <w:rFonts w:cs="Arial"/>
                <w:color w:val="00000A"/>
                <w:szCs w:val="22"/>
              </w:rPr>
            </w:pPr>
            <w:proofErr w:type="spellStart"/>
            <w:r w:rsidRPr="00702A33">
              <w:rPr>
                <w:rFonts w:cs="Arial"/>
                <w:color w:val="00000A"/>
                <w:szCs w:val="22"/>
              </w:rPr>
              <w:t>Etat</w:t>
            </w:r>
            <w:proofErr w:type="spellEnd"/>
          </w:p>
        </w:tc>
        <w:tc>
          <w:tcPr>
            <w:tcW w:w="1843" w:type="dxa"/>
            <w:shd w:val="clear" w:color="auto" w:fill="auto"/>
          </w:tcPr>
          <w:p w:rsidR="002E6E58" w:rsidRPr="00702A33" w:rsidRDefault="002E6E58" w:rsidP="00702A33">
            <w:pPr>
              <w:jc w:val="center"/>
              <w:rPr>
                <w:szCs w:val="22"/>
              </w:rPr>
            </w:pPr>
            <w:r w:rsidRPr="00702A33">
              <w:rPr>
                <w:szCs w:val="22"/>
              </w:rPr>
              <w:t>34,84 %</w:t>
            </w:r>
          </w:p>
        </w:tc>
        <w:tc>
          <w:tcPr>
            <w:tcW w:w="3543" w:type="dxa"/>
            <w:shd w:val="clear" w:color="auto" w:fill="auto"/>
          </w:tcPr>
          <w:p w:rsidR="002E6E58" w:rsidRPr="00702A33" w:rsidRDefault="002E6E58" w:rsidP="00702A33">
            <w:pPr>
              <w:jc w:val="center"/>
              <w:rPr>
                <w:szCs w:val="22"/>
              </w:rPr>
            </w:pPr>
            <w:r w:rsidRPr="00702A33">
              <w:rPr>
                <w:szCs w:val="22"/>
              </w:rPr>
              <w:t>8 710 000 €</w:t>
            </w:r>
          </w:p>
        </w:tc>
      </w:tr>
      <w:tr w:rsidR="002E6E58" w:rsidRPr="00702A33" w:rsidTr="00702A33">
        <w:trPr>
          <w:jc w:val="center"/>
        </w:trPr>
        <w:tc>
          <w:tcPr>
            <w:tcW w:w="3794" w:type="dxa"/>
            <w:shd w:val="clear" w:color="auto" w:fill="auto"/>
          </w:tcPr>
          <w:p w:rsidR="002E6E58" w:rsidRPr="00702A33" w:rsidRDefault="002E6E58" w:rsidP="00702A33">
            <w:pPr>
              <w:jc w:val="center"/>
              <w:rPr>
                <w:rFonts w:cs="Arial"/>
                <w:color w:val="00000A"/>
                <w:szCs w:val="22"/>
              </w:rPr>
            </w:pPr>
            <w:r w:rsidRPr="00702A33">
              <w:rPr>
                <w:rFonts w:cs="Arial"/>
                <w:color w:val="00000A"/>
                <w:szCs w:val="22"/>
              </w:rPr>
              <w:t>Région Bretagne</w:t>
            </w:r>
          </w:p>
        </w:tc>
        <w:tc>
          <w:tcPr>
            <w:tcW w:w="1843" w:type="dxa"/>
            <w:shd w:val="clear" w:color="auto" w:fill="auto"/>
          </w:tcPr>
          <w:p w:rsidR="002E6E58" w:rsidRPr="00702A33" w:rsidRDefault="002E6E58" w:rsidP="00702A33">
            <w:pPr>
              <w:jc w:val="center"/>
              <w:rPr>
                <w:szCs w:val="22"/>
              </w:rPr>
            </w:pPr>
            <w:r w:rsidRPr="00702A33">
              <w:rPr>
                <w:szCs w:val="22"/>
              </w:rPr>
              <w:t>16,08 %</w:t>
            </w:r>
          </w:p>
        </w:tc>
        <w:tc>
          <w:tcPr>
            <w:tcW w:w="3543" w:type="dxa"/>
            <w:shd w:val="clear" w:color="auto" w:fill="auto"/>
          </w:tcPr>
          <w:p w:rsidR="002E6E58" w:rsidRPr="00702A33" w:rsidRDefault="002E6E58" w:rsidP="00702A33">
            <w:pPr>
              <w:jc w:val="center"/>
              <w:rPr>
                <w:szCs w:val="22"/>
              </w:rPr>
            </w:pPr>
            <w:r w:rsidRPr="00702A33">
              <w:rPr>
                <w:szCs w:val="22"/>
              </w:rPr>
              <w:t>4 020 000 €</w:t>
            </w:r>
          </w:p>
        </w:tc>
      </w:tr>
      <w:tr w:rsidR="002E6E58" w:rsidRPr="00702A33" w:rsidTr="00702A33">
        <w:trPr>
          <w:jc w:val="center"/>
        </w:trPr>
        <w:tc>
          <w:tcPr>
            <w:tcW w:w="3794" w:type="dxa"/>
            <w:shd w:val="clear" w:color="auto" w:fill="auto"/>
          </w:tcPr>
          <w:p w:rsidR="002E6E58" w:rsidRPr="00702A33" w:rsidRDefault="002E6E58" w:rsidP="00702A33">
            <w:pPr>
              <w:jc w:val="center"/>
              <w:rPr>
                <w:rFonts w:cs="Arial"/>
                <w:color w:val="00000A"/>
                <w:szCs w:val="22"/>
              </w:rPr>
            </w:pPr>
            <w:r w:rsidRPr="00702A33">
              <w:rPr>
                <w:rFonts w:cs="Arial"/>
                <w:color w:val="00000A"/>
                <w:szCs w:val="22"/>
              </w:rPr>
              <w:t>Département Ille et Vilaine</w:t>
            </w:r>
          </w:p>
        </w:tc>
        <w:tc>
          <w:tcPr>
            <w:tcW w:w="1843" w:type="dxa"/>
            <w:shd w:val="clear" w:color="auto" w:fill="auto"/>
          </w:tcPr>
          <w:p w:rsidR="002E6E58" w:rsidRPr="00702A33" w:rsidRDefault="002E6E58" w:rsidP="00702A33">
            <w:pPr>
              <w:jc w:val="center"/>
              <w:rPr>
                <w:szCs w:val="22"/>
              </w:rPr>
            </w:pPr>
            <w:r w:rsidRPr="00702A33">
              <w:rPr>
                <w:szCs w:val="22"/>
              </w:rPr>
              <w:t>24,54 %</w:t>
            </w:r>
          </w:p>
        </w:tc>
        <w:tc>
          <w:tcPr>
            <w:tcW w:w="3543" w:type="dxa"/>
            <w:shd w:val="clear" w:color="auto" w:fill="auto"/>
          </w:tcPr>
          <w:p w:rsidR="002E6E58" w:rsidRPr="00702A33" w:rsidRDefault="002E6E58" w:rsidP="00702A33">
            <w:pPr>
              <w:jc w:val="center"/>
              <w:rPr>
                <w:szCs w:val="22"/>
              </w:rPr>
            </w:pPr>
            <w:r w:rsidRPr="00702A33">
              <w:rPr>
                <w:szCs w:val="22"/>
              </w:rPr>
              <w:t>6 135 000 €</w:t>
            </w:r>
          </w:p>
        </w:tc>
      </w:tr>
      <w:tr w:rsidR="002E6E58" w:rsidRPr="00702A33" w:rsidTr="00702A33">
        <w:trPr>
          <w:jc w:val="center"/>
        </w:trPr>
        <w:tc>
          <w:tcPr>
            <w:tcW w:w="3794" w:type="dxa"/>
            <w:shd w:val="clear" w:color="auto" w:fill="auto"/>
          </w:tcPr>
          <w:p w:rsidR="002E6E58" w:rsidRPr="00702A33" w:rsidRDefault="002E6E58" w:rsidP="00702A33">
            <w:pPr>
              <w:jc w:val="center"/>
              <w:rPr>
                <w:rFonts w:cs="Arial"/>
                <w:color w:val="00000A"/>
                <w:szCs w:val="22"/>
              </w:rPr>
            </w:pPr>
            <w:r w:rsidRPr="00702A33">
              <w:rPr>
                <w:rFonts w:cs="Arial"/>
                <w:color w:val="00000A"/>
                <w:szCs w:val="22"/>
              </w:rPr>
              <w:t>Rennes Métropole</w:t>
            </w:r>
          </w:p>
        </w:tc>
        <w:tc>
          <w:tcPr>
            <w:tcW w:w="1843" w:type="dxa"/>
            <w:shd w:val="clear" w:color="auto" w:fill="auto"/>
          </w:tcPr>
          <w:p w:rsidR="002E6E58" w:rsidRPr="00702A33" w:rsidRDefault="002E6E58" w:rsidP="00702A33">
            <w:pPr>
              <w:jc w:val="center"/>
              <w:rPr>
                <w:szCs w:val="22"/>
              </w:rPr>
            </w:pPr>
            <w:r w:rsidRPr="00702A33">
              <w:rPr>
                <w:szCs w:val="22"/>
              </w:rPr>
              <w:t>24,54 %</w:t>
            </w:r>
          </w:p>
        </w:tc>
        <w:tc>
          <w:tcPr>
            <w:tcW w:w="3543" w:type="dxa"/>
            <w:shd w:val="clear" w:color="auto" w:fill="auto"/>
          </w:tcPr>
          <w:p w:rsidR="002E6E58" w:rsidRPr="00702A33" w:rsidRDefault="002E6E58" w:rsidP="00702A33">
            <w:pPr>
              <w:jc w:val="center"/>
              <w:rPr>
                <w:szCs w:val="22"/>
              </w:rPr>
            </w:pPr>
            <w:r w:rsidRPr="00702A33">
              <w:rPr>
                <w:szCs w:val="22"/>
              </w:rPr>
              <w:t>6 135 000 €</w:t>
            </w:r>
          </w:p>
        </w:tc>
      </w:tr>
      <w:tr w:rsidR="002E6E58" w:rsidRPr="00702A33" w:rsidTr="00702A33">
        <w:trPr>
          <w:jc w:val="center"/>
        </w:trPr>
        <w:tc>
          <w:tcPr>
            <w:tcW w:w="3794" w:type="dxa"/>
            <w:shd w:val="clear" w:color="auto" w:fill="auto"/>
          </w:tcPr>
          <w:p w:rsidR="002E6E58" w:rsidRPr="00702A33" w:rsidRDefault="002E6E58" w:rsidP="00702A33">
            <w:pPr>
              <w:jc w:val="center"/>
              <w:rPr>
                <w:rFonts w:cs="Arial"/>
                <w:b/>
                <w:color w:val="00000A"/>
                <w:szCs w:val="22"/>
              </w:rPr>
            </w:pPr>
            <w:r w:rsidRPr="00702A33">
              <w:rPr>
                <w:rFonts w:cs="Arial"/>
                <w:b/>
                <w:color w:val="00000A"/>
                <w:szCs w:val="22"/>
              </w:rPr>
              <w:t>TOTAL</w:t>
            </w:r>
          </w:p>
        </w:tc>
        <w:tc>
          <w:tcPr>
            <w:tcW w:w="1843" w:type="dxa"/>
            <w:shd w:val="clear" w:color="auto" w:fill="auto"/>
          </w:tcPr>
          <w:p w:rsidR="002E6E58" w:rsidRPr="00702A33" w:rsidRDefault="002E6E58" w:rsidP="00702A33">
            <w:pPr>
              <w:jc w:val="center"/>
              <w:rPr>
                <w:b/>
                <w:szCs w:val="22"/>
              </w:rPr>
            </w:pPr>
            <w:r w:rsidRPr="00702A33">
              <w:rPr>
                <w:b/>
                <w:szCs w:val="22"/>
              </w:rPr>
              <w:t>100,00 %</w:t>
            </w:r>
          </w:p>
        </w:tc>
        <w:tc>
          <w:tcPr>
            <w:tcW w:w="3543" w:type="dxa"/>
            <w:shd w:val="clear" w:color="auto" w:fill="auto"/>
          </w:tcPr>
          <w:p w:rsidR="002E6E58" w:rsidRPr="00702A33" w:rsidRDefault="002E6E58" w:rsidP="00702A33">
            <w:pPr>
              <w:jc w:val="center"/>
              <w:rPr>
                <w:b/>
                <w:szCs w:val="22"/>
              </w:rPr>
            </w:pPr>
            <w:r w:rsidRPr="00702A33">
              <w:rPr>
                <w:b/>
                <w:szCs w:val="22"/>
              </w:rPr>
              <w:t>25 000 000 €</w:t>
            </w:r>
          </w:p>
        </w:tc>
      </w:tr>
    </w:tbl>
    <w:p w:rsidR="00AE4C8C" w:rsidRPr="00702A33" w:rsidRDefault="00AE4C8C" w:rsidP="00702A33">
      <w:pPr>
        <w:pStyle w:val="Corpsdetexte3"/>
        <w:spacing w:before="0"/>
        <w:rPr>
          <w:szCs w:val="22"/>
        </w:rPr>
      </w:pPr>
    </w:p>
    <w:p w:rsidR="00C30032" w:rsidRPr="00702A33" w:rsidRDefault="00C30032" w:rsidP="00702A33">
      <w:pPr>
        <w:pStyle w:val="Corpsdetexte3"/>
        <w:spacing w:before="0"/>
        <w:rPr>
          <w:szCs w:val="22"/>
        </w:rPr>
      </w:pPr>
    </w:p>
    <w:p w:rsidR="001D37E2" w:rsidRPr="00702A33" w:rsidRDefault="0021155D" w:rsidP="00702A33">
      <w:pPr>
        <w:pStyle w:val="Corpsdetexte"/>
        <w:tabs>
          <w:tab w:val="left" w:pos="567"/>
        </w:tabs>
        <w:jc w:val="both"/>
        <w:rPr>
          <w:szCs w:val="22"/>
        </w:rPr>
      </w:pPr>
      <w:r w:rsidRPr="00702A33">
        <w:rPr>
          <w:szCs w:val="22"/>
        </w:rPr>
        <w:t xml:space="preserve">Après </w:t>
      </w:r>
      <w:r w:rsidR="003A5628">
        <w:rPr>
          <w:szCs w:val="22"/>
        </w:rPr>
        <w:t xml:space="preserve">avis favorable </w:t>
      </w:r>
      <w:r w:rsidR="00EB0E15" w:rsidRPr="00702A33">
        <w:rPr>
          <w:szCs w:val="22"/>
        </w:rPr>
        <w:t>du</w:t>
      </w:r>
      <w:r w:rsidR="004D41E9" w:rsidRPr="00702A33">
        <w:rPr>
          <w:szCs w:val="22"/>
        </w:rPr>
        <w:t xml:space="preserve"> Bureau</w:t>
      </w:r>
      <w:r w:rsidR="003A5628">
        <w:rPr>
          <w:szCs w:val="22"/>
        </w:rPr>
        <w:t xml:space="preserve"> du 18 février</w:t>
      </w:r>
      <w:r w:rsidRPr="00702A33">
        <w:rPr>
          <w:szCs w:val="22"/>
        </w:rPr>
        <w:t xml:space="preserve">, le Conseil </w:t>
      </w:r>
      <w:r w:rsidR="003A5628">
        <w:rPr>
          <w:szCs w:val="22"/>
        </w:rPr>
        <w:t>est</w:t>
      </w:r>
      <w:r w:rsidRPr="00702A33">
        <w:rPr>
          <w:szCs w:val="22"/>
        </w:rPr>
        <w:t xml:space="preserve"> invité à : </w:t>
      </w:r>
    </w:p>
    <w:p w:rsidR="00C30032" w:rsidRPr="00702A33" w:rsidRDefault="00C30032" w:rsidP="00702A33">
      <w:pPr>
        <w:pStyle w:val="Corpsdetexte"/>
        <w:tabs>
          <w:tab w:val="left" w:pos="567"/>
        </w:tabs>
        <w:jc w:val="both"/>
        <w:rPr>
          <w:szCs w:val="22"/>
        </w:rPr>
      </w:pPr>
    </w:p>
    <w:p w:rsidR="002E7B6F" w:rsidRPr="00702A33" w:rsidRDefault="00702A33" w:rsidP="00702A33">
      <w:pPr>
        <w:pStyle w:val="Corpsdetexte3"/>
        <w:numPr>
          <w:ilvl w:val="0"/>
          <w:numId w:val="1"/>
        </w:numPr>
        <w:spacing w:before="0"/>
        <w:ind w:left="426"/>
        <w:rPr>
          <w:szCs w:val="22"/>
        </w:rPr>
      </w:pPr>
      <w:r>
        <w:rPr>
          <w:szCs w:val="22"/>
        </w:rPr>
        <w:t>a</w:t>
      </w:r>
      <w:r w:rsidR="004D41E9" w:rsidRPr="00702A33">
        <w:rPr>
          <w:szCs w:val="22"/>
        </w:rPr>
        <w:t>pprouver les termes du Protocole d'Intention, à conclure entre l'</w:t>
      </w:r>
      <w:r w:rsidRPr="00702A33">
        <w:rPr>
          <w:szCs w:val="22"/>
        </w:rPr>
        <w:t>État</w:t>
      </w:r>
      <w:r w:rsidR="004D41E9" w:rsidRPr="00702A33">
        <w:rPr>
          <w:szCs w:val="22"/>
        </w:rPr>
        <w:t>, la Région Bretagne, le Département d'Ille et Vilaine et Rennes Métropole, portant sur les orientations du Schéma Directeur d'Agglomération de Gest</w:t>
      </w:r>
      <w:r>
        <w:rPr>
          <w:szCs w:val="22"/>
        </w:rPr>
        <w:t>ion de Trafic de Rennes (SDAGT) ;</w:t>
      </w:r>
    </w:p>
    <w:p w:rsidR="008A5AC2" w:rsidRPr="00702A33" w:rsidRDefault="00702A33" w:rsidP="00702A33">
      <w:pPr>
        <w:pStyle w:val="Corpsdetexte3"/>
        <w:numPr>
          <w:ilvl w:val="0"/>
          <w:numId w:val="1"/>
        </w:numPr>
        <w:spacing w:before="0"/>
        <w:ind w:left="426"/>
        <w:rPr>
          <w:szCs w:val="22"/>
        </w:rPr>
      </w:pPr>
      <w:r>
        <w:rPr>
          <w:szCs w:val="22"/>
        </w:rPr>
        <w:t>a</w:t>
      </w:r>
      <w:r w:rsidR="004D41E9" w:rsidRPr="00702A33">
        <w:rPr>
          <w:szCs w:val="22"/>
        </w:rPr>
        <w:t>utoriser Madame la Présidente, ou toute autre personne dûment habilitée à cette fin en application des articles L.5211.9 ou L.212</w:t>
      </w:r>
      <w:r w:rsidR="00AC2EA9" w:rsidRPr="00702A33">
        <w:rPr>
          <w:szCs w:val="22"/>
        </w:rPr>
        <w:t>2</w:t>
      </w:r>
      <w:r w:rsidR="004D41E9" w:rsidRPr="00702A33">
        <w:rPr>
          <w:szCs w:val="22"/>
        </w:rPr>
        <w:t>.17 du Code Général des Collectivités Territoriales, à signer cette convention ou tout acte s'y rapportant.</w:t>
      </w:r>
    </w:p>
    <w:p w:rsidR="00AC2EA9" w:rsidRDefault="00AC2EA9" w:rsidP="00702A33">
      <w:pPr>
        <w:pStyle w:val="Corpsdetexte3"/>
        <w:spacing w:before="0"/>
        <w:rPr>
          <w:szCs w:val="22"/>
        </w:rPr>
      </w:pPr>
    </w:p>
    <w:p w:rsidR="00702A33" w:rsidRPr="00702A33" w:rsidRDefault="00702A33" w:rsidP="00702A33">
      <w:pPr>
        <w:pStyle w:val="Corpsdetexte3"/>
        <w:spacing w:before="0"/>
        <w:rPr>
          <w:szCs w:val="22"/>
        </w:rPr>
      </w:pPr>
    </w:p>
    <w:p w:rsidR="00AC2EA9" w:rsidRPr="00702A33" w:rsidRDefault="00AC2EA9" w:rsidP="00702A33">
      <w:pPr>
        <w:pStyle w:val="Corpsdetexte3"/>
        <w:spacing w:before="0"/>
        <w:rPr>
          <w:szCs w:val="22"/>
        </w:rPr>
      </w:pPr>
      <w:r w:rsidRPr="00702A33">
        <w:rPr>
          <w:szCs w:val="22"/>
        </w:rPr>
        <w:t>Les dépenses en résultant seront imputées au budget principal Chapitre 204, article 204113, fonction 80 sur l'autorisation du Programme Accords partenariaux d'infrastructures (RM20P301), AP "SDA Gestion de Trafic".</w:t>
      </w:r>
    </w:p>
    <w:p w:rsidR="00AC2EA9" w:rsidRDefault="00AC2EA9" w:rsidP="00702A33">
      <w:pPr>
        <w:pStyle w:val="Corpsdetexte3"/>
        <w:spacing w:before="0"/>
        <w:rPr>
          <w:szCs w:val="22"/>
        </w:rPr>
      </w:pPr>
    </w:p>
    <w:p w:rsidR="00640402" w:rsidRPr="007A0283" w:rsidRDefault="00640402" w:rsidP="00640402">
      <w:pPr>
        <w:autoSpaceDE w:val="0"/>
        <w:autoSpaceDN w:val="0"/>
        <w:adjustRightInd w:val="0"/>
        <w:jc w:val="center"/>
        <w:rPr>
          <w:rFonts w:cs="Arial Narrow,Bold"/>
          <w:b/>
          <w:bCs/>
          <w:szCs w:val="22"/>
        </w:rPr>
      </w:pPr>
      <w:proofErr w:type="gramStart"/>
      <w:r w:rsidRPr="007A0283">
        <w:rPr>
          <w:rFonts w:cs="Arial Narrow,Bold"/>
          <w:b/>
          <w:bCs/>
          <w:szCs w:val="22"/>
        </w:rPr>
        <w:t>o</w:t>
      </w:r>
      <w:proofErr w:type="gramEnd"/>
      <w:r w:rsidRPr="007A0283">
        <w:rPr>
          <w:rFonts w:cs="Arial Narrow,Bold"/>
          <w:b/>
          <w:bCs/>
          <w:szCs w:val="22"/>
        </w:rPr>
        <w:t xml:space="preserve"> </w:t>
      </w:r>
      <w:proofErr w:type="spellStart"/>
      <w:r w:rsidRPr="007A0283">
        <w:rPr>
          <w:rFonts w:cs="Arial Narrow,Bold"/>
          <w:b/>
          <w:bCs/>
          <w:szCs w:val="22"/>
        </w:rPr>
        <w:t>O</w:t>
      </w:r>
      <w:proofErr w:type="spellEnd"/>
      <w:r w:rsidRPr="007A0283">
        <w:rPr>
          <w:rFonts w:cs="Arial Narrow,Bold"/>
          <w:b/>
          <w:bCs/>
          <w:szCs w:val="22"/>
        </w:rPr>
        <w:t xml:space="preserve"> </w:t>
      </w:r>
      <w:proofErr w:type="spellStart"/>
      <w:r w:rsidRPr="007A0283">
        <w:rPr>
          <w:rFonts w:cs="Arial Narrow,Bold"/>
          <w:b/>
          <w:bCs/>
          <w:szCs w:val="22"/>
        </w:rPr>
        <w:t>o</w:t>
      </w:r>
      <w:proofErr w:type="spellEnd"/>
    </w:p>
    <w:p w:rsidR="00640402" w:rsidRPr="007A0283" w:rsidRDefault="00640402" w:rsidP="00640402">
      <w:pPr>
        <w:autoSpaceDE w:val="0"/>
        <w:autoSpaceDN w:val="0"/>
        <w:adjustRightInd w:val="0"/>
        <w:jc w:val="center"/>
        <w:rPr>
          <w:rFonts w:cs="Arial Narrow,Bold"/>
          <w:b/>
          <w:bCs/>
          <w:szCs w:val="22"/>
        </w:rPr>
      </w:pPr>
    </w:p>
    <w:p w:rsidR="00640402" w:rsidRDefault="00640402" w:rsidP="00640402">
      <w:pPr>
        <w:pStyle w:val="Textecourrier"/>
        <w:jc w:val="center"/>
        <w:rPr>
          <w:rFonts w:cs="Arial Narrow,Bold"/>
          <w:b/>
          <w:bCs/>
        </w:rPr>
      </w:pPr>
      <w:r w:rsidRPr="00E76875">
        <w:rPr>
          <w:rFonts w:cs="Arial Narrow,Bold"/>
          <w:b/>
          <w:bCs/>
        </w:rPr>
        <w:t>Après en avoir délibéré, le Conseil,</w:t>
      </w:r>
      <w:r>
        <w:rPr>
          <w:rFonts w:cs="Arial Narrow,Bold"/>
          <w:b/>
          <w:bCs/>
        </w:rPr>
        <w:t xml:space="preserve"> à l'unanimité,</w:t>
      </w:r>
    </w:p>
    <w:p w:rsidR="00640402" w:rsidRDefault="00640402" w:rsidP="00702A33">
      <w:pPr>
        <w:pStyle w:val="Corpsdetexte3"/>
        <w:spacing w:before="0"/>
        <w:rPr>
          <w:szCs w:val="22"/>
        </w:rPr>
      </w:pPr>
    </w:p>
    <w:p w:rsidR="00640402" w:rsidRPr="00702A33" w:rsidRDefault="00640402" w:rsidP="00640402">
      <w:pPr>
        <w:pStyle w:val="Corpsdetexte3"/>
        <w:numPr>
          <w:ilvl w:val="0"/>
          <w:numId w:val="1"/>
        </w:numPr>
        <w:spacing w:before="0"/>
        <w:ind w:left="426"/>
        <w:rPr>
          <w:szCs w:val="22"/>
        </w:rPr>
      </w:pPr>
      <w:r>
        <w:rPr>
          <w:szCs w:val="22"/>
        </w:rPr>
        <w:t>a</w:t>
      </w:r>
      <w:r w:rsidRPr="00702A33">
        <w:rPr>
          <w:szCs w:val="22"/>
        </w:rPr>
        <w:t>pprouve les termes du Protocole d'Intention, à conclure entre l'État, la Région Bretagne, le Département d'Ille et Vilaine et Rennes Métropole, portant sur les orientations du Schéma Directeur d'Agglomération de Gest</w:t>
      </w:r>
      <w:r>
        <w:rPr>
          <w:szCs w:val="22"/>
        </w:rPr>
        <w:t>ion de Trafic de Rennes (SDAGT) ;</w:t>
      </w:r>
    </w:p>
    <w:p w:rsidR="00640402" w:rsidRPr="00702A33" w:rsidRDefault="00640402" w:rsidP="00640402">
      <w:pPr>
        <w:pStyle w:val="Corpsdetexte3"/>
        <w:numPr>
          <w:ilvl w:val="0"/>
          <w:numId w:val="1"/>
        </w:numPr>
        <w:spacing w:before="0"/>
        <w:ind w:left="426"/>
        <w:rPr>
          <w:szCs w:val="22"/>
        </w:rPr>
      </w:pPr>
      <w:r>
        <w:rPr>
          <w:szCs w:val="22"/>
        </w:rPr>
        <w:t>a</w:t>
      </w:r>
      <w:r w:rsidRPr="00702A33">
        <w:rPr>
          <w:szCs w:val="22"/>
        </w:rPr>
        <w:t>utorise Madame la Présidente, ou toute autre personne dûment habilitée à cette fin en application des articles L.5211.9 ou L.2122.17 du Code Général des Collectivités Territoriales, à signer cette convention ou tout acte s'y rapportant.</w:t>
      </w:r>
    </w:p>
    <w:p w:rsidR="00640402" w:rsidRPr="00702A33" w:rsidRDefault="00640402" w:rsidP="00702A33">
      <w:pPr>
        <w:pStyle w:val="Corpsdetexte3"/>
        <w:spacing w:before="0"/>
        <w:rPr>
          <w:szCs w:val="22"/>
        </w:rPr>
      </w:pPr>
    </w:p>
    <w:sectPr w:rsidR="00640402" w:rsidRPr="00702A33" w:rsidSect="00825E46">
      <w:headerReference w:type="default" r:id="rId9"/>
      <w:footerReference w:type="even" r:id="rId10"/>
      <w:footerReference w:type="default" r:id="rId11"/>
      <w:headerReference w:type="first" r:id="rId12"/>
      <w:footerReference w:type="first" r:id="rId13"/>
      <w:pgSz w:w="11906" w:h="16838" w:code="9"/>
      <w:pgMar w:top="2835" w:right="851" w:bottom="1134" w:left="1701" w:header="567" w:footer="85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0FC" w:rsidRDefault="004150FC">
      <w:r>
        <w:separator/>
      </w:r>
    </w:p>
  </w:endnote>
  <w:endnote w:type="continuationSeparator" w:id="0">
    <w:p w:rsidR="004150FC" w:rsidRDefault="00415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561" w:rsidRDefault="009075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907561" w:rsidRDefault="00907561">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561" w:rsidRDefault="00907561">
    <w:pPr>
      <w:pStyle w:val="Pieddepage"/>
      <w:framePr w:w="571" w:h="406" w:hRule="exact" w:wrap="around" w:vAnchor="text" w:hAnchor="page" w:x="6076" w:y="-206"/>
      <w:rPr>
        <w:sz w:val="18"/>
      </w:rPr>
    </w:pPr>
    <w:r>
      <w:rPr>
        <w:rStyle w:val="Numrodepage"/>
        <w:sz w:val="18"/>
      </w:rPr>
      <w:fldChar w:fldCharType="begin"/>
    </w:r>
    <w:r>
      <w:rPr>
        <w:rStyle w:val="Numrodepage"/>
        <w:sz w:val="18"/>
      </w:rPr>
      <w:instrText xml:space="preserve"> PAGE </w:instrText>
    </w:r>
    <w:r>
      <w:rPr>
        <w:rStyle w:val="Numrodepage"/>
        <w:sz w:val="18"/>
      </w:rPr>
      <w:fldChar w:fldCharType="separate"/>
    </w:r>
    <w:r w:rsidR="00DF5C5E">
      <w:rPr>
        <w:rStyle w:val="Numrodepage"/>
        <w:noProof/>
        <w:sz w:val="18"/>
      </w:rPr>
      <w:t>5</w:t>
    </w:r>
    <w:r>
      <w:rPr>
        <w:rStyle w:val="Numrodepage"/>
        <w:sz w:val="18"/>
      </w:rPr>
      <w:fldChar w:fldCharType="end"/>
    </w:r>
    <w:r>
      <w:rPr>
        <w:rStyle w:val="Numrodepage"/>
        <w:sz w:val="18"/>
      </w:rPr>
      <w:t>/</w:t>
    </w:r>
    <w:r>
      <w:rPr>
        <w:rStyle w:val="Numrodepage"/>
        <w:sz w:val="18"/>
      </w:rPr>
      <w:fldChar w:fldCharType="begin"/>
    </w:r>
    <w:r>
      <w:rPr>
        <w:rStyle w:val="Numrodepage"/>
        <w:sz w:val="18"/>
      </w:rPr>
      <w:instrText xml:space="preserve"> NUMPAGES </w:instrText>
    </w:r>
    <w:r>
      <w:rPr>
        <w:rStyle w:val="Numrodepage"/>
        <w:sz w:val="18"/>
      </w:rPr>
      <w:fldChar w:fldCharType="separate"/>
    </w:r>
    <w:r w:rsidR="00DF5C5E">
      <w:rPr>
        <w:rStyle w:val="Numrodepage"/>
        <w:noProof/>
        <w:sz w:val="18"/>
      </w:rPr>
      <w:t>5</w:t>
    </w:r>
    <w:r>
      <w:rPr>
        <w:rStyle w:val="Numrodepage"/>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561" w:rsidRDefault="00907561">
    <w:pPr>
      <w:pStyle w:val="Pieddepage"/>
      <w:framePr w:w="376" w:wrap="around" w:vAnchor="text" w:hAnchor="margin" w:xAlign="center" w:y="1"/>
      <w:rPr>
        <w:rStyle w:val="Numrodepage"/>
        <w:sz w:val="18"/>
      </w:rPr>
    </w:pPr>
    <w:r>
      <w:rPr>
        <w:rStyle w:val="Numrodepage"/>
        <w:sz w:val="18"/>
      </w:rPr>
      <w:fldChar w:fldCharType="begin"/>
    </w:r>
    <w:r>
      <w:rPr>
        <w:rStyle w:val="Numrodepage"/>
        <w:sz w:val="18"/>
      </w:rPr>
      <w:instrText xml:space="preserve"> PAGE </w:instrText>
    </w:r>
    <w:r>
      <w:rPr>
        <w:rStyle w:val="Numrodepage"/>
        <w:sz w:val="18"/>
      </w:rPr>
      <w:fldChar w:fldCharType="separate"/>
    </w:r>
    <w:r w:rsidR="00DF5C5E">
      <w:rPr>
        <w:rStyle w:val="Numrodepage"/>
        <w:noProof/>
        <w:sz w:val="18"/>
      </w:rPr>
      <w:t>1</w:t>
    </w:r>
    <w:r>
      <w:rPr>
        <w:rStyle w:val="Numrodepage"/>
        <w:sz w:val="18"/>
      </w:rPr>
      <w:fldChar w:fldCharType="end"/>
    </w:r>
    <w:r>
      <w:rPr>
        <w:rStyle w:val="Numrodepage"/>
        <w:sz w:val="18"/>
      </w:rPr>
      <w:t>/</w:t>
    </w:r>
    <w:r>
      <w:rPr>
        <w:rStyle w:val="Numrodepage"/>
        <w:sz w:val="18"/>
      </w:rPr>
      <w:fldChar w:fldCharType="begin"/>
    </w:r>
    <w:r>
      <w:rPr>
        <w:rStyle w:val="Numrodepage"/>
        <w:sz w:val="18"/>
      </w:rPr>
      <w:instrText xml:space="preserve"> NUMPAGES </w:instrText>
    </w:r>
    <w:r>
      <w:rPr>
        <w:rStyle w:val="Numrodepage"/>
        <w:sz w:val="18"/>
      </w:rPr>
      <w:fldChar w:fldCharType="separate"/>
    </w:r>
    <w:r w:rsidR="00DF5C5E">
      <w:rPr>
        <w:rStyle w:val="Numrodepage"/>
        <w:noProof/>
        <w:sz w:val="18"/>
      </w:rPr>
      <w:t>5</w:t>
    </w:r>
    <w:r>
      <w:rPr>
        <w:rStyle w:val="Numrodepage"/>
        <w:sz w:val="18"/>
      </w:rPr>
      <w:fldChar w:fldCharType="end"/>
    </w:r>
  </w:p>
  <w:p w:rsidR="00907561" w:rsidRDefault="0090756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0FC" w:rsidRDefault="004150FC">
      <w:r>
        <w:separator/>
      </w:r>
    </w:p>
  </w:footnote>
  <w:footnote w:type="continuationSeparator" w:id="0">
    <w:p w:rsidR="004150FC" w:rsidRDefault="004150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561" w:rsidRDefault="0092370B" w:rsidP="00291731">
    <w:pPr>
      <w:pStyle w:val="Conseildu"/>
      <w:ind w:left="0"/>
      <w:jc w:val="left"/>
    </w:pPr>
    <w:r>
      <w:rPr>
        <w:noProof/>
      </w:rPr>
      <mc:AlternateContent>
        <mc:Choice Requires="wps">
          <w:drawing>
            <wp:anchor distT="0" distB="0" distL="114300" distR="114300" simplePos="0" relativeHeight="251658240" behindDoc="0" locked="0" layoutInCell="0" allowOverlap="1" wp14:anchorId="7626D60C" wp14:editId="4AEE86D1">
              <wp:simplePos x="0" y="0"/>
              <wp:positionH relativeFrom="column">
                <wp:posOffset>2663190</wp:posOffset>
              </wp:positionH>
              <wp:positionV relativeFrom="paragraph">
                <wp:posOffset>316230</wp:posOffset>
              </wp:positionV>
              <wp:extent cx="3314700" cy="1019175"/>
              <wp:effectExtent l="0" t="0" r="0" b="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1019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7561" w:rsidRDefault="003A5628" w:rsidP="00291731">
                          <w:pPr>
                            <w:pStyle w:val="Conseilsecondepage"/>
                          </w:pPr>
                          <w:r>
                            <w:t>Conseil du 11 mars</w:t>
                          </w:r>
                          <w:r w:rsidR="00907561">
                            <w:t xml:space="preserve"> 20</w:t>
                          </w:r>
                          <w:r w:rsidR="008479E8">
                            <w:t>2</w:t>
                          </w:r>
                          <w:r w:rsidR="00746708">
                            <w:t>1</w:t>
                          </w:r>
                        </w:p>
                        <w:p w:rsidR="00907561" w:rsidRDefault="00907561" w:rsidP="00291731">
                          <w:pPr>
                            <w:pStyle w:val="RAPPORTsuite"/>
                          </w:pPr>
                          <w:r>
                            <w:rPr>
                              <w:caps/>
                            </w:rPr>
                            <w:t>Rapport</w:t>
                          </w:r>
                          <w:r>
                            <w:t xml:space="preserve"> (Suite)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7" type="#_x0000_t202" style="position:absolute;margin-left:209.7pt;margin-top:24.9pt;width:261pt;height:8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" o:allowincell="f" stroked="f">
              <v:textbox>
                <w:txbxContent>
                  <w:p w:rsidR="00907561" w:rsidRDefault="003A5628" w:rsidP="00291731">
                    <w:pPr>
                      <w:pStyle w:val="Conseilsecondepage"/>
                    </w:pPr>
                    <w:r>
                      <w:t>Conseil du 11 mars</w:t>
                    </w:r>
                    <w:r w:rsidR="00907561">
                      <w:t xml:space="preserve"> 20</w:t>
                    </w:r>
                    <w:r w:rsidR="008479E8">
                      <w:t>2</w:t>
                    </w:r>
                    <w:r w:rsidR="00746708">
                      <w:t>1</w:t>
                    </w:r>
                  </w:p>
                  <w:p w:rsidR="00907561" w:rsidRDefault="00907561" w:rsidP="00291731">
                    <w:pPr>
                      <w:pStyle w:val="RAPPORTsuite"/>
                    </w:pPr>
                    <w:r>
                      <w:rPr>
                        <w:caps/>
                      </w:rPr>
                      <w:t>Rapport</w:t>
                    </w:r>
                    <w:r>
                      <w:t xml:space="preserve"> (Suite) </w:t>
                    </w:r>
                  </w:p>
                </w:txbxContent>
              </v:textbox>
            </v:shape>
          </w:pict>
        </mc:Fallback>
      </mc:AlternateContent>
    </w:r>
    <w:r>
      <w:rPr>
        <w:noProof/>
      </w:rPr>
      <w:drawing>
        <wp:inline distT="0" distB="0" distL="0" distR="0" wp14:anchorId="3BB6CE87" wp14:editId="6F1DD945">
          <wp:extent cx="572770" cy="771525"/>
          <wp:effectExtent l="0" t="0" r="0" b="9525"/>
          <wp:docPr id="1" name="Image 1"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770" cy="77152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561" w:rsidRDefault="0092370B" w:rsidP="00291731">
    <w:pPr>
      <w:ind w:left="-1134"/>
      <w:rPr>
        <w:rFonts w:ascii="Century Gothic" w:hAnsi="Century Gothic"/>
      </w:rPr>
    </w:pPr>
    <w:r>
      <w:rPr>
        <w:rFonts w:ascii="Century Gothic" w:hAnsi="Century Gothic"/>
        <w:noProof/>
      </w:rPr>
      <w:drawing>
        <wp:inline distT="0" distB="0" distL="0" distR="0" wp14:anchorId="6725302A" wp14:editId="18B59E17">
          <wp:extent cx="2393315" cy="930275"/>
          <wp:effectExtent l="0" t="0" r="6985" b="3175"/>
          <wp:docPr id="2" name="Image 2"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3315" cy="930275"/>
                  </a:xfrm>
                  <a:prstGeom prst="rect">
                    <a:avLst/>
                  </a:prstGeom>
                  <a:noFill/>
                  <a:ln>
                    <a:noFill/>
                  </a:ln>
                </pic:spPr>
              </pic:pic>
            </a:graphicData>
          </a:graphic>
        </wp:inline>
      </w:drawing>
    </w:r>
  </w:p>
  <w:p w:rsidR="00907561" w:rsidRDefault="003A5628" w:rsidP="00291731">
    <w:pPr>
      <w:pStyle w:val="Conseildu"/>
      <w:rPr>
        <w:color w:val="000000"/>
        <w:sz w:val="46"/>
      </w:rPr>
    </w:pPr>
    <w:r>
      <w:rPr>
        <w:color w:val="000000"/>
        <w:sz w:val="46"/>
      </w:rPr>
      <w:t>Conseil du 11 mars</w:t>
    </w:r>
    <w:r w:rsidR="00445D7D">
      <w:rPr>
        <w:color w:val="000000"/>
        <w:sz w:val="46"/>
      </w:rPr>
      <w:t xml:space="preserve"> </w:t>
    </w:r>
    <w:r w:rsidR="006E3615">
      <w:rPr>
        <w:color w:val="000000"/>
        <w:sz w:val="46"/>
      </w:rPr>
      <w:t>2021</w:t>
    </w:r>
  </w:p>
  <w:p w:rsidR="00907561" w:rsidRDefault="00907561" w:rsidP="00702A33">
    <w:pPr>
      <w:pStyle w:val="RAPPORT"/>
    </w:pPr>
    <w:r>
      <w:rPr>
        <w:caps/>
        <w:color w:val="000000"/>
      </w:rPr>
      <w:t>Rapport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21A25"/>
    <w:multiLevelType w:val="hybridMultilevel"/>
    <w:tmpl w:val="73C487B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nsid w:val="155932A1"/>
    <w:multiLevelType w:val="multilevel"/>
    <w:tmpl w:val="19320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530C5C"/>
    <w:multiLevelType w:val="multilevel"/>
    <w:tmpl w:val="BBAAF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977754"/>
    <w:multiLevelType w:val="multilevel"/>
    <w:tmpl w:val="4D4CA9F2"/>
    <w:lvl w:ilvl="0">
      <w:numFmt w:val="bullet"/>
      <w:lvlText w:val="-"/>
      <w:lvlJc w:val="left"/>
      <w:pPr>
        <w:tabs>
          <w:tab w:val="num" w:pos="720"/>
        </w:tabs>
        <w:ind w:left="720" w:hanging="360"/>
      </w:pPr>
      <w:rPr>
        <w:rFonts w:ascii="Arial Narrow" w:eastAsia="Times New Roman" w:hAnsi="Arial Narrow"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3A2134"/>
    <w:multiLevelType w:val="multilevel"/>
    <w:tmpl w:val="EEC21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5272C77"/>
    <w:multiLevelType w:val="multilevel"/>
    <w:tmpl w:val="264A3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A0D10B9"/>
    <w:multiLevelType w:val="hybridMultilevel"/>
    <w:tmpl w:val="6868CC02"/>
    <w:lvl w:ilvl="0" w:tplc="7B6EC0C8">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4E9F7340"/>
    <w:multiLevelType w:val="multilevel"/>
    <w:tmpl w:val="6E0EA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680396B"/>
    <w:multiLevelType w:val="multilevel"/>
    <w:tmpl w:val="0304F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A1F1BCA"/>
    <w:multiLevelType w:val="multilevel"/>
    <w:tmpl w:val="82521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57D35A1"/>
    <w:multiLevelType w:val="multilevel"/>
    <w:tmpl w:val="3F98F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8"/>
  </w:num>
  <w:num w:numId="4">
    <w:abstractNumId w:val="2"/>
  </w:num>
  <w:num w:numId="5">
    <w:abstractNumId w:val="5"/>
  </w:num>
  <w:num w:numId="6">
    <w:abstractNumId w:val="7"/>
  </w:num>
  <w:num w:numId="7">
    <w:abstractNumId w:val="10"/>
  </w:num>
  <w:num w:numId="8">
    <w:abstractNumId w:val="4"/>
  </w:num>
  <w:num w:numId="9">
    <w:abstractNumId w:val="0"/>
  </w:num>
  <w:num w:numId="10">
    <w:abstractNumId w:val="3"/>
  </w:num>
  <w:num w:numId="1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fr-FR"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AAC"/>
    <w:rsid w:val="00012CFB"/>
    <w:rsid w:val="00013599"/>
    <w:rsid w:val="00045E7B"/>
    <w:rsid w:val="00054995"/>
    <w:rsid w:val="00056B01"/>
    <w:rsid w:val="00056F03"/>
    <w:rsid w:val="000708DE"/>
    <w:rsid w:val="00080C52"/>
    <w:rsid w:val="000859DF"/>
    <w:rsid w:val="00092BA5"/>
    <w:rsid w:val="00093D00"/>
    <w:rsid w:val="000A0224"/>
    <w:rsid w:val="000B0169"/>
    <w:rsid w:val="000B2FAF"/>
    <w:rsid w:val="000B5EDD"/>
    <w:rsid w:val="000C3009"/>
    <w:rsid w:val="000C5FEA"/>
    <w:rsid w:val="000D2FB7"/>
    <w:rsid w:val="000D67E0"/>
    <w:rsid w:val="000F2A66"/>
    <w:rsid w:val="000F6B5B"/>
    <w:rsid w:val="000F7F13"/>
    <w:rsid w:val="00101A23"/>
    <w:rsid w:val="001071A2"/>
    <w:rsid w:val="00126852"/>
    <w:rsid w:val="00153774"/>
    <w:rsid w:val="001538E9"/>
    <w:rsid w:val="0016161B"/>
    <w:rsid w:val="00167FE5"/>
    <w:rsid w:val="00174F98"/>
    <w:rsid w:val="001914E7"/>
    <w:rsid w:val="00194805"/>
    <w:rsid w:val="001B31A6"/>
    <w:rsid w:val="001C00C4"/>
    <w:rsid w:val="001C101A"/>
    <w:rsid w:val="001D37E2"/>
    <w:rsid w:val="001D461A"/>
    <w:rsid w:val="001D6482"/>
    <w:rsid w:val="001F2FD7"/>
    <w:rsid w:val="00205D0D"/>
    <w:rsid w:val="0021155D"/>
    <w:rsid w:val="002221F4"/>
    <w:rsid w:val="00233726"/>
    <w:rsid w:val="00254D5D"/>
    <w:rsid w:val="00270C05"/>
    <w:rsid w:val="00285281"/>
    <w:rsid w:val="00291731"/>
    <w:rsid w:val="002A6395"/>
    <w:rsid w:val="002D3E8F"/>
    <w:rsid w:val="002E0E76"/>
    <w:rsid w:val="002E5E99"/>
    <w:rsid w:val="002E6E58"/>
    <w:rsid w:val="002E7B6F"/>
    <w:rsid w:val="002F232A"/>
    <w:rsid w:val="002F3C4F"/>
    <w:rsid w:val="002F3D2B"/>
    <w:rsid w:val="002F49D2"/>
    <w:rsid w:val="002F4BD3"/>
    <w:rsid w:val="0032174F"/>
    <w:rsid w:val="003249D4"/>
    <w:rsid w:val="00332BE2"/>
    <w:rsid w:val="003422E9"/>
    <w:rsid w:val="00343695"/>
    <w:rsid w:val="003436F9"/>
    <w:rsid w:val="00350B18"/>
    <w:rsid w:val="003727AD"/>
    <w:rsid w:val="00374127"/>
    <w:rsid w:val="00376B03"/>
    <w:rsid w:val="003A4A01"/>
    <w:rsid w:val="003A5628"/>
    <w:rsid w:val="003A5AB4"/>
    <w:rsid w:val="003B089F"/>
    <w:rsid w:val="003B2FF3"/>
    <w:rsid w:val="003C22D5"/>
    <w:rsid w:val="003C2489"/>
    <w:rsid w:val="003C7899"/>
    <w:rsid w:val="003D1F13"/>
    <w:rsid w:val="003D7D6C"/>
    <w:rsid w:val="003E19E9"/>
    <w:rsid w:val="00403444"/>
    <w:rsid w:val="00406861"/>
    <w:rsid w:val="00413E43"/>
    <w:rsid w:val="004150FC"/>
    <w:rsid w:val="00424F94"/>
    <w:rsid w:val="00441006"/>
    <w:rsid w:val="0044257B"/>
    <w:rsid w:val="00445654"/>
    <w:rsid w:val="00445D7D"/>
    <w:rsid w:val="00450146"/>
    <w:rsid w:val="004632BA"/>
    <w:rsid w:val="004662B4"/>
    <w:rsid w:val="00471FE1"/>
    <w:rsid w:val="00492F1B"/>
    <w:rsid w:val="00494362"/>
    <w:rsid w:val="00495BA7"/>
    <w:rsid w:val="004A11DA"/>
    <w:rsid w:val="004B458F"/>
    <w:rsid w:val="004B6589"/>
    <w:rsid w:val="004B767A"/>
    <w:rsid w:val="004C19C2"/>
    <w:rsid w:val="004C2405"/>
    <w:rsid w:val="004C4AD3"/>
    <w:rsid w:val="004C6D08"/>
    <w:rsid w:val="004D262C"/>
    <w:rsid w:val="004D296C"/>
    <w:rsid w:val="004D41E9"/>
    <w:rsid w:val="004D4739"/>
    <w:rsid w:val="004D5E57"/>
    <w:rsid w:val="004D7D29"/>
    <w:rsid w:val="004E01A0"/>
    <w:rsid w:val="004E2C70"/>
    <w:rsid w:val="004F7818"/>
    <w:rsid w:val="00500102"/>
    <w:rsid w:val="00500FD4"/>
    <w:rsid w:val="00510E0D"/>
    <w:rsid w:val="00511583"/>
    <w:rsid w:val="00527A5B"/>
    <w:rsid w:val="005378D3"/>
    <w:rsid w:val="0054057A"/>
    <w:rsid w:val="00542A01"/>
    <w:rsid w:val="0054389C"/>
    <w:rsid w:val="00545D6C"/>
    <w:rsid w:val="00572CF6"/>
    <w:rsid w:val="00585BD0"/>
    <w:rsid w:val="005953EC"/>
    <w:rsid w:val="005A1AD7"/>
    <w:rsid w:val="005A3686"/>
    <w:rsid w:val="005C0C79"/>
    <w:rsid w:val="005F6BAE"/>
    <w:rsid w:val="006023E0"/>
    <w:rsid w:val="006050E8"/>
    <w:rsid w:val="006120F9"/>
    <w:rsid w:val="006124E3"/>
    <w:rsid w:val="006237F3"/>
    <w:rsid w:val="00626AC1"/>
    <w:rsid w:val="00627DEC"/>
    <w:rsid w:val="00632F8F"/>
    <w:rsid w:val="00633504"/>
    <w:rsid w:val="00634730"/>
    <w:rsid w:val="0063793D"/>
    <w:rsid w:val="00640402"/>
    <w:rsid w:val="0064771F"/>
    <w:rsid w:val="00664FC2"/>
    <w:rsid w:val="00686F20"/>
    <w:rsid w:val="006A160E"/>
    <w:rsid w:val="006B474A"/>
    <w:rsid w:val="006C4CE0"/>
    <w:rsid w:val="006C5B82"/>
    <w:rsid w:val="006D008B"/>
    <w:rsid w:val="006D2ABE"/>
    <w:rsid w:val="006E0335"/>
    <w:rsid w:val="006E3615"/>
    <w:rsid w:val="006F1BA1"/>
    <w:rsid w:val="006F41DC"/>
    <w:rsid w:val="00702A33"/>
    <w:rsid w:val="0071070C"/>
    <w:rsid w:val="00744F1E"/>
    <w:rsid w:val="00746708"/>
    <w:rsid w:val="00754F2A"/>
    <w:rsid w:val="007559AF"/>
    <w:rsid w:val="00760F99"/>
    <w:rsid w:val="00765ADD"/>
    <w:rsid w:val="00767912"/>
    <w:rsid w:val="007726BF"/>
    <w:rsid w:val="00777A15"/>
    <w:rsid w:val="00781876"/>
    <w:rsid w:val="00783E77"/>
    <w:rsid w:val="00792E25"/>
    <w:rsid w:val="007B1333"/>
    <w:rsid w:val="007B3A1F"/>
    <w:rsid w:val="007C0369"/>
    <w:rsid w:val="007C17AF"/>
    <w:rsid w:val="007C7E9E"/>
    <w:rsid w:val="007D11A9"/>
    <w:rsid w:val="007D7FC9"/>
    <w:rsid w:val="007E1A9B"/>
    <w:rsid w:val="00803C3F"/>
    <w:rsid w:val="0080799E"/>
    <w:rsid w:val="00825E46"/>
    <w:rsid w:val="008428BB"/>
    <w:rsid w:val="00847439"/>
    <w:rsid w:val="008479E8"/>
    <w:rsid w:val="008609B2"/>
    <w:rsid w:val="008663EF"/>
    <w:rsid w:val="008763D5"/>
    <w:rsid w:val="008842E7"/>
    <w:rsid w:val="0089242C"/>
    <w:rsid w:val="00893AEB"/>
    <w:rsid w:val="00895A2B"/>
    <w:rsid w:val="008A2C4F"/>
    <w:rsid w:val="008A5AC2"/>
    <w:rsid w:val="008A7E0C"/>
    <w:rsid w:val="008B5A28"/>
    <w:rsid w:val="008C0C17"/>
    <w:rsid w:val="008D5F70"/>
    <w:rsid w:val="008D6D27"/>
    <w:rsid w:val="008E6390"/>
    <w:rsid w:val="00901DB2"/>
    <w:rsid w:val="00907561"/>
    <w:rsid w:val="009126AB"/>
    <w:rsid w:val="009129E4"/>
    <w:rsid w:val="0092370B"/>
    <w:rsid w:val="00937563"/>
    <w:rsid w:val="0094294D"/>
    <w:rsid w:val="0094742C"/>
    <w:rsid w:val="0096515A"/>
    <w:rsid w:val="009679E9"/>
    <w:rsid w:val="00975309"/>
    <w:rsid w:val="00983668"/>
    <w:rsid w:val="0098391D"/>
    <w:rsid w:val="0098745B"/>
    <w:rsid w:val="00993855"/>
    <w:rsid w:val="009953A5"/>
    <w:rsid w:val="0099594B"/>
    <w:rsid w:val="009A2979"/>
    <w:rsid w:val="009B3E8E"/>
    <w:rsid w:val="009B71F1"/>
    <w:rsid w:val="009C01FB"/>
    <w:rsid w:val="009C190C"/>
    <w:rsid w:val="009C31DC"/>
    <w:rsid w:val="009E3DE4"/>
    <w:rsid w:val="009E7CC1"/>
    <w:rsid w:val="009F1859"/>
    <w:rsid w:val="009F3BF7"/>
    <w:rsid w:val="00A0425D"/>
    <w:rsid w:val="00A2240B"/>
    <w:rsid w:val="00A23499"/>
    <w:rsid w:val="00A265D2"/>
    <w:rsid w:val="00A575E2"/>
    <w:rsid w:val="00A577E9"/>
    <w:rsid w:val="00A61656"/>
    <w:rsid w:val="00A65915"/>
    <w:rsid w:val="00A66B70"/>
    <w:rsid w:val="00A71E8E"/>
    <w:rsid w:val="00A80513"/>
    <w:rsid w:val="00A8217F"/>
    <w:rsid w:val="00A85C1B"/>
    <w:rsid w:val="00A90C3D"/>
    <w:rsid w:val="00A91963"/>
    <w:rsid w:val="00AA7E5C"/>
    <w:rsid w:val="00AB3952"/>
    <w:rsid w:val="00AC2E64"/>
    <w:rsid w:val="00AC2EA9"/>
    <w:rsid w:val="00AC42BF"/>
    <w:rsid w:val="00AD7DB9"/>
    <w:rsid w:val="00AE08D1"/>
    <w:rsid w:val="00AE2F9F"/>
    <w:rsid w:val="00AE4C8C"/>
    <w:rsid w:val="00AF3FDC"/>
    <w:rsid w:val="00AF59E9"/>
    <w:rsid w:val="00B00DDE"/>
    <w:rsid w:val="00B04212"/>
    <w:rsid w:val="00B0505B"/>
    <w:rsid w:val="00B1276B"/>
    <w:rsid w:val="00B12ECE"/>
    <w:rsid w:val="00B31728"/>
    <w:rsid w:val="00B43124"/>
    <w:rsid w:val="00B47083"/>
    <w:rsid w:val="00B51B62"/>
    <w:rsid w:val="00B615B4"/>
    <w:rsid w:val="00B929F7"/>
    <w:rsid w:val="00BA6543"/>
    <w:rsid w:val="00BA7CA7"/>
    <w:rsid w:val="00BF62ED"/>
    <w:rsid w:val="00BF7543"/>
    <w:rsid w:val="00BF7DB4"/>
    <w:rsid w:val="00C04549"/>
    <w:rsid w:val="00C07360"/>
    <w:rsid w:val="00C30032"/>
    <w:rsid w:val="00C36B54"/>
    <w:rsid w:val="00C37845"/>
    <w:rsid w:val="00C46F9D"/>
    <w:rsid w:val="00C61672"/>
    <w:rsid w:val="00C643A9"/>
    <w:rsid w:val="00C67768"/>
    <w:rsid w:val="00C818B0"/>
    <w:rsid w:val="00C83328"/>
    <w:rsid w:val="00C84534"/>
    <w:rsid w:val="00C85C38"/>
    <w:rsid w:val="00C91647"/>
    <w:rsid w:val="00CB1F9C"/>
    <w:rsid w:val="00CB363D"/>
    <w:rsid w:val="00CB50FB"/>
    <w:rsid w:val="00CB5230"/>
    <w:rsid w:val="00CC089D"/>
    <w:rsid w:val="00CD5658"/>
    <w:rsid w:val="00CE53CC"/>
    <w:rsid w:val="00CF6C22"/>
    <w:rsid w:val="00D009BB"/>
    <w:rsid w:val="00D03A01"/>
    <w:rsid w:val="00D26375"/>
    <w:rsid w:val="00D448D6"/>
    <w:rsid w:val="00D46F0F"/>
    <w:rsid w:val="00D50209"/>
    <w:rsid w:val="00D55532"/>
    <w:rsid w:val="00D60995"/>
    <w:rsid w:val="00D63DCA"/>
    <w:rsid w:val="00D65AA0"/>
    <w:rsid w:val="00D65ADD"/>
    <w:rsid w:val="00D75818"/>
    <w:rsid w:val="00D80FE6"/>
    <w:rsid w:val="00DA4188"/>
    <w:rsid w:val="00DA4FBF"/>
    <w:rsid w:val="00DA5903"/>
    <w:rsid w:val="00DB0742"/>
    <w:rsid w:val="00DD416A"/>
    <w:rsid w:val="00DE58A5"/>
    <w:rsid w:val="00DF0017"/>
    <w:rsid w:val="00DF5C5E"/>
    <w:rsid w:val="00E01271"/>
    <w:rsid w:val="00E01927"/>
    <w:rsid w:val="00E33F08"/>
    <w:rsid w:val="00E40697"/>
    <w:rsid w:val="00E44C35"/>
    <w:rsid w:val="00E579C0"/>
    <w:rsid w:val="00E64741"/>
    <w:rsid w:val="00E754CE"/>
    <w:rsid w:val="00E93668"/>
    <w:rsid w:val="00E93DEE"/>
    <w:rsid w:val="00E97263"/>
    <w:rsid w:val="00EA5805"/>
    <w:rsid w:val="00EA66E6"/>
    <w:rsid w:val="00EB0E15"/>
    <w:rsid w:val="00EB0F3E"/>
    <w:rsid w:val="00ED17FD"/>
    <w:rsid w:val="00ED1CFC"/>
    <w:rsid w:val="00ED2AAC"/>
    <w:rsid w:val="00ED3BBF"/>
    <w:rsid w:val="00ED3F7D"/>
    <w:rsid w:val="00EE62A6"/>
    <w:rsid w:val="00EF14BC"/>
    <w:rsid w:val="00EF16E7"/>
    <w:rsid w:val="00F04C86"/>
    <w:rsid w:val="00F14A44"/>
    <w:rsid w:val="00F14B9F"/>
    <w:rsid w:val="00F1648B"/>
    <w:rsid w:val="00F31A76"/>
    <w:rsid w:val="00F32CF5"/>
    <w:rsid w:val="00F403B1"/>
    <w:rsid w:val="00F40874"/>
    <w:rsid w:val="00F548C1"/>
    <w:rsid w:val="00F54D89"/>
    <w:rsid w:val="00F57A6B"/>
    <w:rsid w:val="00F74F72"/>
    <w:rsid w:val="00F820D4"/>
    <w:rsid w:val="00F93098"/>
    <w:rsid w:val="00F9402C"/>
    <w:rsid w:val="00FD6A0A"/>
    <w:rsid w:val="00FD7E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Narrow" w:hAnsi="Arial Narrow"/>
      <w:sz w:val="22"/>
      <w:szCs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Normal"/>
    <w:next w:val="Normal"/>
    <w:qFormat/>
    <w:pPr>
      <w:keepNext/>
      <w:pBdr>
        <w:top w:val="double" w:sz="4" w:space="1" w:color="auto"/>
        <w:left w:val="double" w:sz="4" w:space="1" w:color="auto"/>
        <w:bottom w:val="double" w:sz="4" w:space="1" w:color="auto"/>
        <w:right w:val="double" w:sz="4" w:space="1" w:color="auto"/>
      </w:pBdr>
      <w:spacing w:before="100"/>
      <w:jc w:val="center"/>
      <w:outlineLvl w:val="3"/>
    </w:pPr>
    <w:rPr>
      <w:rFonts w:ascii="New York" w:hAnsi="New York"/>
      <w:b/>
      <w:bCs/>
      <w:szCs w:val="22"/>
    </w:rPr>
  </w:style>
  <w:style w:type="paragraph" w:styleId="Titre5">
    <w:name w:val="heading 5"/>
    <w:basedOn w:val="Normal"/>
    <w:next w:val="Normal"/>
    <w:qFormat/>
    <w:pPr>
      <w:keepNext/>
      <w:jc w:val="center"/>
      <w:outlineLvl w:val="4"/>
    </w:pPr>
    <w:rPr>
      <w:i/>
    </w:rPr>
  </w:style>
  <w:style w:type="paragraph" w:styleId="Titre6">
    <w:name w:val="heading 6"/>
    <w:basedOn w:val="Normal"/>
    <w:next w:val="Normal"/>
    <w:qFormat/>
    <w:pPr>
      <w:keepNext/>
      <w:jc w:val="center"/>
      <w:outlineLvl w:val="5"/>
    </w:pPr>
    <w:rPr>
      <w:u w:val="single"/>
    </w:rPr>
  </w:style>
  <w:style w:type="paragraph" w:styleId="Titre9">
    <w:name w:val="heading 9"/>
    <w:basedOn w:val="Normal"/>
    <w:next w:val="Normal"/>
    <w:qFormat/>
    <w:pPr>
      <w:keepNext/>
      <w:jc w:val="center"/>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eastAsia="Arial Unicode MS" w:cs="Arial"/>
      <w:noProof/>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Conseildu">
    <w:name w:val="Conseil du"/>
    <w:basedOn w:val="Normal"/>
    <w:pPr>
      <w:spacing w:before="120"/>
      <w:ind w:left="-1871"/>
      <w:jc w:val="right"/>
    </w:pPr>
    <w:rPr>
      <w:rFonts w:ascii="Century Gothic" w:hAnsi="Century Gothic"/>
      <w:sz w:val="48"/>
    </w:rPr>
  </w:style>
  <w:style w:type="paragraph" w:customStyle="1" w:styleId="Titrerappport">
    <w:name w:val="Titre rappport"/>
    <w:basedOn w:val="Normal"/>
    <w:rPr>
      <w:rFonts w:ascii="Century Gothic" w:hAnsi="Century Gothic"/>
      <w:sz w:val="32"/>
    </w:rPr>
  </w:style>
  <w:style w:type="paragraph" w:customStyle="1" w:styleId="Vu">
    <w:name w:val="Vu"/>
    <w:basedOn w:val="Normal"/>
    <w:rPr>
      <w:rFonts w:eastAsia="Arial Unicode MS" w:cs="Arial"/>
      <w:i/>
      <w:iCs/>
      <w:noProof/>
      <w:sz w:val="2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InitialesRapporteur">
    <w:name w:val="Initiales Rapporteur"/>
    <w:basedOn w:val="Normal"/>
  </w:style>
  <w:style w:type="character" w:styleId="Numrodepage">
    <w:name w:val="page number"/>
    <w:basedOn w:val="Policepardfaut"/>
  </w:style>
  <w:style w:type="paragraph" w:customStyle="1" w:styleId="Conseilsecondepage">
    <w:name w:val="Conseil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styleId="Corpsdetexte">
    <w:name w:val="Body Text"/>
    <w:basedOn w:val="Normal"/>
  </w:style>
  <w:style w:type="paragraph" w:styleId="Retraitcorpsdetexte">
    <w:name w:val="Body Text Indent"/>
    <w:basedOn w:val="Normal"/>
    <w:pPr>
      <w:ind w:left="1418"/>
      <w:jc w:val="both"/>
    </w:pPr>
  </w:style>
  <w:style w:type="paragraph" w:styleId="Corpsdetexte2">
    <w:name w:val="Body Text 2"/>
    <w:basedOn w:val="Normal"/>
    <w:pPr>
      <w:jc w:val="both"/>
    </w:pPr>
    <w:rPr>
      <w:i/>
      <w:sz w:val="20"/>
    </w:rPr>
  </w:style>
  <w:style w:type="paragraph" w:styleId="Corpsdetexte3">
    <w:name w:val="Body Text 3"/>
    <w:basedOn w:val="Normal"/>
    <w:link w:val="Corpsdetexte3Car"/>
    <w:pPr>
      <w:spacing w:before="80"/>
      <w:jc w:val="both"/>
    </w:pPr>
  </w:style>
  <w:style w:type="paragraph" w:styleId="Retraitcorpsdetexte2">
    <w:name w:val="Body Text Indent 2"/>
    <w:basedOn w:val="Normal"/>
    <w:pPr>
      <w:ind w:left="102" w:hanging="102"/>
      <w:jc w:val="center"/>
    </w:pPr>
    <w:rPr>
      <w:b/>
      <w:bCs/>
      <w:snapToGrid w:val="0"/>
      <w:color w:val="000080"/>
      <w:sz w:val="20"/>
      <w:szCs w:val="20"/>
    </w:rPr>
  </w:style>
  <w:style w:type="paragraph" w:customStyle="1" w:styleId="xl29">
    <w:name w:val="xl29"/>
    <w:basedOn w:val="Normal"/>
    <w:pPr>
      <w:pBdr>
        <w:top w:val="single" w:sz="8" w:space="0" w:color="auto"/>
      </w:pBdr>
      <w:spacing w:before="100" w:beforeAutospacing="1" w:after="100" w:afterAutospacing="1"/>
    </w:pPr>
    <w:rPr>
      <w:rFonts w:ascii="Arial Unicode MS" w:eastAsia="Arial Unicode MS" w:hAnsi="Arial Unicode MS" w:cs="Arial Unicode MS"/>
      <w:color w:val="FF0000"/>
      <w:sz w:val="12"/>
      <w:szCs w:val="12"/>
    </w:rPr>
  </w:style>
  <w:style w:type="paragraph" w:customStyle="1" w:styleId="xl30">
    <w:name w:val="xl30"/>
    <w:basedOn w:val="Normal"/>
    <w:pPr>
      <w:pBdr>
        <w:top w:val="single" w:sz="8" w:space="0" w:color="auto"/>
      </w:pBdr>
      <w:spacing w:before="100" w:beforeAutospacing="1" w:after="100" w:afterAutospacing="1"/>
      <w:jc w:val="center"/>
    </w:pPr>
    <w:rPr>
      <w:rFonts w:ascii="Arial Unicode MS" w:eastAsia="Arial Unicode MS" w:hAnsi="Arial Unicode MS" w:cs="Arial Unicode MS"/>
      <w:color w:val="FF0000"/>
      <w:sz w:val="12"/>
      <w:szCs w:val="12"/>
    </w:rPr>
  </w:style>
  <w:style w:type="paragraph" w:customStyle="1" w:styleId="xl31">
    <w:name w:val="xl31"/>
    <w:basedOn w:val="Normal"/>
    <w:pPr>
      <w:pBdr>
        <w:top w:val="single" w:sz="8" w:space="0" w:color="auto"/>
      </w:pBdr>
      <w:spacing w:before="100" w:beforeAutospacing="1" w:after="100" w:afterAutospacing="1"/>
    </w:pPr>
    <w:rPr>
      <w:rFonts w:ascii="Arial Unicode MS" w:eastAsia="Arial Unicode MS" w:hAnsi="Arial Unicode MS" w:cs="Arial Unicode MS"/>
      <w:color w:val="FF0000"/>
      <w:sz w:val="12"/>
      <w:szCs w:val="12"/>
    </w:rPr>
  </w:style>
  <w:style w:type="paragraph" w:customStyle="1" w:styleId="xl32">
    <w:name w:val="xl32"/>
    <w:basedOn w:val="Normal"/>
    <w:pPr>
      <w:pBdr>
        <w:top w:val="single" w:sz="8" w:space="0" w:color="auto"/>
      </w:pBdr>
      <w:spacing w:before="100" w:beforeAutospacing="1" w:after="100" w:afterAutospacing="1"/>
    </w:pPr>
    <w:rPr>
      <w:rFonts w:ascii="Arial Unicode MS" w:eastAsia="Arial Unicode MS" w:hAnsi="Arial Unicode MS" w:cs="Arial Unicode MS"/>
      <w:color w:val="FF0000"/>
      <w:sz w:val="12"/>
      <w:szCs w:val="12"/>
    </w:rPr>
  </w:style>
  <w:style w:type="paragraph" w:customStyle="1" w:styleId="xl33">
    <w:name w:val="xl33"/>
    <w:basedOn w:val="Normal"/>
    <w:pPr>
      <w:pBdr>
        <w:top w:val="single" w:sz="8" w:space="0" w:color="auto"/>
      </w:pBdr>
      <w:spacing w:before="100" w:beforeAutospacing="1" w:after="100" w:afterAutospacing="1"/>
    </w:pPr>
    <w:rPr>
      <w:rFonts w:ascii="Arial Unicode MS" w:eastAsia="Arial Unicode MS" w:hAnsi="Arial Unicode MS" w:cs="Arial Unicode MS"/>
      <w:sz w:val="12"/>
      <w:szCs w:val="12"/>
    </w:rPr>
  </w:style>
  <w:style w:type="paragraph" w:customStyle="1" w:styleId="xl34">
    <w:name w:val="xl34"/>
    <w:basedOn w:val="Normal"/>
    <w:pPr>
      <w:pBdr>
        <w:top w:val="single" w:sz="8" w:space="0" w:color="auto"/>
      </w:pBdr>
      <w:spacing w:before="100" w:beforeAutospacing="1" w:after="100" w:afterAutospacing="1"/>
    </w:pPr>
    <w:rPr>
      <w:rFonts w:ascii="Arial Unicode MS" w:eastAsia="Arial Unicode MS" w:hAnsi="Arial Unicode MS" w:cs="Arial Unicode MS"/>
      <w:sz w:val="12"/>
      <w:szCs w:val="12"/>
    </w:rPr>
  </w:style>
  <w:style w:type="paragraph" w:customStyle="1" w:styleId="xl35">
    <w:name w:val="xl35"/>
    <w:basedOn w:val="Normal"/>
    <w:pPr>
      <w:pBdr>
        <w:top w:val="single" w:sz="8" w:space="0" w:color="auto"/>
      </w:pBdr>
      <w:spacing w:before="100" w:beforeAutospacing="1" w:after="100" w:afterAutospacing="1"/>
      <w:jc w:val="center"/>
    </w:pPr>
    <w:rPr>
      <w:rFonts w:ascii="Arial Unicode MS" w:eastAsia="Arial Unicode MS" w:hAnsi="Arial Unicode MS" w:cs="Arial Unicode MS"/>
      <w:sz w:val="12"/>
      <w:szCs w:val="12"/>
    </w:rPr>
  </w:style>
  <w:style w:type="paragraph" w:customStyle="1" w:styleId="xl36">
    <w:name w:val="xl36"/>
    <w:basedOn w:val="Normal"/>
    <w:pPr>
      <w:pBdr>
        <w:top w:val="single" w:sz="8" w:space="0" w:color="auto"/>
      </w:pBdr>
      <w:spacing w:before="100" w:beforeAutospacing="1" w:after="100" w:afterAutospacing="1"/>
      <w:jc w:val="right"/>
    </w:pPr>
    <w:rPr>
      <w:rFonts w:ascii="Arial Unicode MS" w:eastAsia="Arial Unicode MS" w:hAnsi="Arial Unicode MS" w:cs="Arial Unicode MS"/>
      <w:sz w:val="12"/>
      <w:szCs w:val="12"/>
    </w:rPr>
  </w:style>
  <w:style w:type="paragraph" w:customStyle="1" w:styleId="xl37">
    <w:name w:val="xl37"/>
    <w:basedOn w:val="Normal"/>
    <w:pPr>
      <w:pBdr>
        <w:top w:val="single" w:sz="8" w:space="0" w:color="auto"/>
      </w:pBdr>
      <w:spacing w:before="100" w:beforeAutospacing="1" w:after="100" w:afterAutospacing="1"/>
      <w:jc w:val="center"/>
    </w:pPr>
    <w:rPr>
      <w:rFonts w:ascii="Arial Unicode MS" w:eastAsia="Arial Unicode MS" w:hAnsi="Arial Unicode MS" w:cs="Arial Unicode MS"/>
      <w:sz w:val="12"/>
      <w:szCs w:val="12"/>
    </w:rPr>
  </w:style>
  <w:style w:type="paragraph" w:customStyle="1" w:styleId="Corpsdetexte21">
    <w:name w:val="Corps de texte 21"/>
    <w:basedOn w:val="Retraitnormal"/>
    <w:pPr>
      <w:widowControl w:val="0"/>
      <w:spacing w:before="120" w:after="120"/>
      <w:ind w:left="709" w:firstLine="709"/>
      <w:jc w:val="both"/>
    </w:pPr>
    <w:rPr>
      <w:rFonts w:ascii="Times New Roman" w:hAnsi="Times New Roman"/>
      <w:szCs w:val="22"/>
    </w:rPr>
  </w:style>
  <w:style w:type="paragraph" w:styleId="Retraitnormal">
    <w:name w:val="Normal Indent"/>
    <w:basedOn w:val="Normal"/>
    <w:pPr>
      <w:ind w:left="708"/>
    </w:pPr>
  </w:style>
  <w:style w:type="paragraph" w:styleId="Retraitcorpsdetexte3">
    <w:name w:val="Body Text Indent 3"/>
    <w:basedOn w:val="Normal"/>
    <w:pPr>
      <w:ind w:right="536" w:firstLine="567"/>
      <w:jc w:val="both"/>
    </w:pPr>
    <w:rPr>
      <w:rFonts w:ascii="Times New Roman" w:hAnsi="Times New Roman"/>
      <w:sz w:val="24"/>
      <w:szCs w:val="20"/>
    </w:rPr>
  </w:style>
  <w:style w:type="paragraph" w:customStyle="1" w:styleId="Adresse">
    <w:name w:val="Adresse"/>
    <w:basedOn w:val="Normal"/>
    <w:pPr>
      <w:jc w:val="both"/>
    </w:pPr>
    <w:rPr>
      <w:rFonts w:ascii="Century Gothic" w:hAnsi="Century Gothic"/>
      <w:szCs w:val="20"/>
    </w:rPr>
  </w:style>
  <w:style w:type="paragraph" w:styleId="TM1">
    <w:name w:val="toc 1"/>
    <w:basedOn w:val="Normal"/>
    <w:next w:val="Normal"/>
    <w:autoRedefine/>
    <w:semiHidden/>
    <w:pPr>
      <w:pBdr>
        <w:top w:val="single" w:sz="4" w:space="1" w:color="auto" w:shadow="1"/>
        <w:left w:val="single" w:sz="4" w:space="4" w:color="auto" w:shadow="1"/>
        <w:bottom w:val="single" w:sz="4" w:space="1" w:color="auto" w:shadow="1"/>
        <w:right w:val="single" w:sz="4" w:space="4" w:color="auto" w:shadow="1"/>
      </w:pBdr>
      <w:shd w:val="clear" w:color="auto" w:fill="E0E0E0"/>
      <w:tabs>
        <w:tab w:val="right" w:leader="dot" w:pos="9062"/>
      </w:tabs>
      <w:jc w:val="center"/>
    </w:pPr>
    <w:rPr>
      <w:rFonts w:ascii="Century Gothic" w:hAnsi="Century Gothic"/>
      <w:b/>
      <w:bCs/>
      <w:caps/>
      <w:noProof/>
      <w:sz w:val="28"/>
      <w:szCs w:val="32"/>
      <w14:shadow w14:blurRad="50800" w14:dist="38100" w14:dir="2700000" w14:sx="100000" w14:sy="100000" w14:kx="0" w14:ky="0" w14:algn="tl">
        <w14:srgbClr w14:val="000000">
          <w14:alpha w14:val="60000"/>
        </w14:srgbClr>
      </w14:shadow>
    </w:rPr>
  </w:style>
  <w:style w:type="character" w:styleId="lev">
    <w:name w:val="Strong"/>
    <w:qFormat/>
    <w:rPr>
      <w:b/>
      <w:bCs/>
    </w:rPr>
  </w:style>
  <w:style w:type="paragraph" w:styleId="Textedebulles">
    <w:name w:val="Balloon Text"/>
    <w:basedOn w:val="Normal"/>
    <w:link w:val="TextedebullesCar"/>
    <w:rsid w:val="004B6589"/>
    <w:rPr>
      <w:rFonts w:ascii="Tahoma" w:hAnsi="Tahoma" w:cs="Tahoma"/>
      <w:sz w:val="16"/>
      <w:szCs w:val="16"/>
    </w:rPr>
  </w:style>
  <w:style w:type="character" w:customStyle="1" w:styleId="TextedebullesCar">
    <w:name w:val="Texte de bulles Car"/>
    <w:link w:val="Textedebulles"/>
    <w:rsid w:val="004B6589"/>
    <w:rPr>
      <w:rFonts w:ascii="Tahoma" w:hAnsi="Tahoma" w:cs="Tahoma"/>
      <w:sz w:val="16"/>
      <w:szCs w:val="16"/>
    </w:rPr>
  </w:style>
  <w:style w:type="paragraph" w:styleId="Normalcentr">
    <w:name w:val="Block Text"/>
    <w:basedOn w:val="Normal"/>
    <w:rsid w:val="00B47083"/>
    <w:pPr>
      <w:ind w:left="5760" w:right="1152"/>
    </w:pPr>
    <w:rPr>
      <w:rFonts w:ascii="Times New Roman" w:hAnsi="Times New Roman"/>
      <w:sz w:val="24"/>
    </w:rPr>
  </w:style>
  <w:style w:type="paragraph" w:customStyle="1" w:styleId="Normalcentr1">
    <w:name w:val="Normal centré1"/>
    <w:basedOn w:val="Normal"/>
    <w:rsid w:val="001D37E2"/>
    <w:pPr>
      <w:overflowPunct w:val="0"/>
      <w:autoSpaceDE w:val="0"/>
      <w:autoSpaceDN w:val="0"/>
      <w:adjustRightInd w:val="0"/>
      <w:ind w:left="1134" w:right="-2" w:firstLine="1134"/>
    </w:pPr>
    <w:rPr>
      <w:rFonts w:ascii="Times New Roman" w:hAnsi="Times New Roman"/>
      <w:sz w:val="24"/>
      <w:szCs w:val="20"/>
    </w:rPr>
  </w:style>
  <w:style w:type="paragraph" w:customStyle="1" w:styleId="Default">
    <w:name w:val="Default"/>
    <w:rsid w:val="00901DB2"/>
    <w:pPr>
      <w:autoSpaceDE w:val="0"/>
      <w:autoSpaceDN w:val="0"/>
      <w:adjustRightInd w:val="0"/>
    </w:pPr>
    <w:rPr>
      <w:rFonts w:ascii="Arial" w:hAnsi="Arial" w:cs="Arial"/>
      <w:color w:val="000000"/>
      <w:sz w:val="24"/>
      <w:szCs w:val="24"/>
    </w:rPr>
  </w:style>
  <w:style w:type="table" w:styleId="Grilledutableau">
    <w:name w:val="Table Grid"/>
    <w:basedOn w:val="TableauNormal"/>
    <w:rsid w:val="00842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link w:val="TitreCar"/>
    <w:qFormat/>
    <w:rsid w:val="00B929F7"/>
    <w:pPr>
      <w:pBdr>
        <w:top w:val="thinThickMediumGap" w:sz="24" w:space="1" w:color="auto"/>
        <w:left w:val="thinThickMediumGap" w:sz="24" w:space="4" w:color="auto"/>
        <w:bottom w:val="thickThinMediumGap" w:sz="24" w:space="1" w:color="auto"/>
        <w:right w:val="thickThinMediumGap" w:sz="24" w:space="4" w:color="auto"/>
      </w:pBdr>
      <w:spacing w:line="280" w:lineRule="atLeast"/>
      <w:jc w:val="center"/>
    </w:pPr>
    <w:rPr>
      <w:rFonts w:ascii="Arial" w:hAnsi="Arial"/>
      <w:b/>
      <w:sz w:val="28"/>
      <w:szCs w:val="20"/>
    </w:rPr>
  </w:style>
  <w:style w:type="character" w:customStyle="1" w:styleId="TitreCar">
    <w:name w:val="Titre Car"/>
    <w:link w:val="Titre"/>
    <w:rsid w:val="00B929F7"/>
    <w:rPr>
      <w:rFonts w:ascii="Arial" w:hAnsi="Arial"/>
      <w:b/>
      <w:sz w:val="28"/>
    </w:rPr>
  </w:style>
  <w:style w:type="character" w:styleId="Lienhypertexte">
    <w:name w:val="Hyperlink"/>
    <w:uiPriority w:val="99"/>
    <w:unhideWhenUsed/>
    <w:rsid w:val="000B5EDD"/>
    <w:rPr>
      <w:color w:val="0000FF"/>
      <w:u w:val="single"/>
    </w:rPr>
  </w:style>
  <w:style w:type="paragraph" w:customStyle="1" w:styleId="Objetendtail">
    <w:name w:val="Objet en détail"/>
    <w:basedOn w:val="Titre3"/>
    <w:rsid w:val="00126852"/>
    <w:pPr>
      <w:ind w:left="1134"/>
    </w:pPr>
    <w:rPr>
      <w:rFonts w:ascii="Century Gothic" w:hAnsi="Century Gothic" w:cs="Times New Roman"/>
      <w:b w:val="0"/>
      <w:bCs w:val="0"/>
      <w:smallCaps/>
      <w:sz w:val="24"/>
      <w:szCs w:val="20"/>
    </w:rPr>
  </w:style>
  <w:style w:type="paragraph" w:customStyle="1" w:styleId="western">
    <w:name w:val="western"/>
    <w:basedOn w:val="Normal"/>
    <w:rsid w:val="001914E7"/>
    <w:pPr>
      <w:spacing w:before="100" w:beforeAutospacing="1" w:after="142" w:line="276" w:lineRule="auto"/>
    </w:pPr>
    <w:rPr>
      <w:rFonts w:ascii="Liberation Serif" w:hAnsi="Liberation Serif" w:cs="Liberation Serif"/>
      <w:color w:val="00000A"/>
      <w:sz w:val="24"/>
    </w:rPr>
  </w:style>
  <w:style w:type="paragraph" w:styleId="NormalWeb">
    <w:name w:val="Normal (Web)"/>
    <w:basedOn w:val="Normal"/>
    <w:uiPriority w:val="99"/>
    <w:unhideWhenUsed/>
    <w:rsid w:val="00993855"/>
    <w:pPr>
      <w:spacing w:before="100" w:beforeAutospacing="1" w:after="142" w:line="276" w:lineRule="auto"/>
    </w:pPr>
    <w:rPr>
      <w:rFonts w:ascii="Times New Roman" w:hAnsi="Times New Roman"/>
      <w:color w:val="00000A"/>
      <w:sz w:val="24"/>
    </w:rPr>
  </w:style>
  <w:style w:type="character" w:customStyle="1" w:styleId="Corpsdetexte3Car">
    <w:name w:val="Corps de texte 3 Car"/>
    <w:link w:val="Corpsdetexte3"/>
    <w:rsid w:val="00AC2EA9"/>
    <w:rPr>
      <w:rFonts w:ascii="Arial Narrow" w:hAnsi="Arial Narrow"/>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Narrow" w:hAnsi="Arial Narrow"/>
      <w:sz w:val="22"/>
      <w:szCs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Normal"/>
    <w:next w:val="Normal"/>
    <w:qFormat/>
    <w:pPr>
      <w:keepNext/>
      <w:pBdr>
        <w:top w:val="double" w:sz="4" w:space="1" w:color="auto"/>
        <w:left w:val="double" w:sz="4" w:space="1" w:color="auto"/>
        <w:bottom w:val="double" w:sz="4" w:space="1" w:color="auto"/>
        <w:right w:val="double" w:sz="4" w:space="1" w:color="auto"/>
      </w:pBdr>
      <w:spacing w:before="100"/>
      <w:jc w:val="center"/>
      <w:outlineLvl w:val="3"/>
    </w:pPr>
    <w:rPr>
      <w:rFonts w:ascii="New York" w:hAnsi="New York"/>
      <w:b/>
      <w:bCs/>
      <w:szCs w:val="22"/>
    </w:rPr>
  </w:style>
  <w:style w:type="paragraph" w:styleId="Titre5">
    <w:name w:val="heading 5"/>
    <w:basedOn w:val="Normal"/>
    <w:next w:val="Normal"/>
    <w:qFormat/>
    <w:pPr>
      <w:keepNext/>
      <w:jc w:val="center"/>
      <w:outlineLvl w:val="4"/>
    </w:pPr>
    <w:rPr>
      <w:i/>
    </w:rPr>
  </w:style>
  <w:style w:type="paragraph" w:styleId="Titre6">
    <w:name w:val="heading 6"/>
    <w:basedOn w:val="Normal"/>
    <w:next w:val="Normal"/>
    <w:qFormat/>
    <w:pPr>
      <w:keepNext/>
      <w:jc w:val="center"/>
      <w:outlineLvl w:val="5"/>
    </w:pPr>
    <w:rPr>
      <w:u w:val="single"/>
    </w:rPr>
  </w:style>
  <w:style w:type="paragraph" w:styleId="Titre9">
    <w:name w:val="heading 9"/>
    <w:basedOn w:val="Normal"/>
    <w:next w:val="Normal"/>
    <w:qFormat/>
    <w:pPr>
      <w:keepNext/>
      <w:jc w:val="center"/>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eastAsia="Arial Unicode MS" w:cs="Arial"/>
      <w:noProof/>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Conseildu">
    <w:name w:val="Conseil du"/>
    <w:basedOn w:val="Normal"/>
    <w:pPr>
      <w:spacing w:before="120"/>
      <w:ind w:left="-1871"/>
      <w:jc w:val="right"/>
    </w:pPr>
    <w:rPr>
      <w:rFonts w:ascii="Century Gothic" w:hAnsi="Century Gothic"/>
      <w:sz w:val="48"/>
    </w:rPr>
  </w:style>
  <w:style w:type="paragraph" w:customStyle="1" w:styleId="Titrerappport">
    <w:name w:val="Titre rappport"/>
    <w:basedOn w:val="Normal"/>
    <w:rPr>
      <w:rFonts w:ascii="Century Gothic" w:hAnsi="Century Gothic"/>
      <w:sz w:val="32"/>
    </w:rPr>
  </w:style>
  <w:style w:type="paragraph" w:customStyle="1" w:styleId="Vu">
    <w:name w:val="Vu"/>
    <w:basedOn w:val="Normal"/>
    <w:rPr>
      <w:rFonts w:eastAsia="Arial Unicode MS" w:cs="Arial"/>
      <w:i/>
      <w:iCs/>
      <w:noProof/>
      <w:sz w:val="2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InitialesRapporteur">
    <w:name w:val="Initiales Rapporteur"/>
    <w:basedOn w:val="Normal"/>
  </w:style>
  <w:style w:type="character" w:styleId="Numrodepage">
    <w:name w:val="page number"/>
    <w:basedOn w:val="Policepardfaut"/>
  </w:style>
  <w:style w:type="paragraph" w:customStyle="1" w:styleId="Conseilsecondepage">
    <w:name w:val="Conseil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styleId="Corpsdetexte">
    <w:name w:val="Body Text"/>
    <w:basedOn w:val="Normal"/>
  </w:style>
  <w:style w:type="paragraph" w:styleId="Retraitcorpsdetexte">
    <w:name w:val="Body Text Indent"/>
    <w:basedOn w:val="Normal"/>
    <w:pPr>
      <w:ind w:left="1418"/>
      <w:jc w:val="both"/>
    </w:pPr>
  </w:style>
  <w:style w:type="paragraph" w:styleId="Corpsdetexte2">
    <w:name w:val="Body Text 2"/>
    <w:basedOn w:val="Normal"/>
    <w:pPr>
      <w:jc w:val="both"/>
    </w:pPr>
    <w:rPr>
      <w:i/>
      <w:sz w:val="20"/>
    </w:rPr>
  </w:style>
  <w:style w:type="paragraph" w:styleId="Corpsdetexte3">
    <w:name w:val="Body Text 3"/>
    <w:basedOn w:val="Normal"/>
    <w:link w:val="Corpsdetexte3Car"/>
    <w:pPr>
      <w:spacing w:before="80"/>
      <w:jc w:val="both"/>
    </w:pPr>
  </w:style>
  <w:style w:type="paragraph" w:styleId="Retraitcorpsdetexte2">
    <w:name w:val="Body Text Indent 2"/>
    <w:basedOn w:val="Normal"/>
    <w:pPr>
      <w:ind w:left="102" w:hanging="102"/>
      <w:jc w:val="center"/>
    </w:pPr>
    <w:rPr>
      <w:b/>
      <w:bCs/>
      <w:snapToGrid w:val="0"/>
      <w:color w:val="000080"/>
      <w:sz w:val="20"/>
      <w:szCs w:val="20"/>
    </w:rPr>
  </w:style>
  <w:style w:type="paragraph" w:customStyle="1" w:styleId="xl29">
    <w:name w:val="xl29"/>
    <w:basedOn w:val="Normal"/>
    <w:pPr>
      <w:pBdr>
        <w:top w:val="single" w:sz="8" w:space="0" w:color="auto"/>
      </w:pBdr>
      <w:spacing w:before="100" w:beforeAutospacing="1" w:after="100" w:afterAutospacing="1"/>
    </w:pPr>
    <w:rPr>
      <w:rFonts w:ascii="Arial Unicode MS" w:eastAsia="Arial Unicode MS" w:hAnsi="Arial Unicode MS" w:cs="Arial Unicode MS"/>
      <w:color w:val="FF0000"/>
      <w:sz w:val="12"/>
      <w:szCs w:val="12"/>
    </w:rPr>
  </w:style>
  <w:style w:type="paragraph" w:customStyle="1" w:styleId="xl30">
    <w:name w:val="xl30"/>
    <w:basedOn w:val="Normal"/>
    <w:pPr>
      <w:pBdr>
        <w:top w:val="single" w:sz="8" w:space="0" w:color="auto"/>
      </w:pBdr>
      <w:spacing w:before="100" w:beforeAutospacing="1" w:after="100" w:afterAutospacing="1"/>
      <w:jc w:val="center"/>
    </w:pPr>
    <w:rPr>
      <w:rFonts w:ascii="Arial Unicode MS" w:eastAsia="Arial Unicode MS" w:hAnsi="Arial Unicode MS" w:cs="Arial Unicode MS"/>
      <w:color w:val="FF0000"/>
      <w:sz w:val="12"/>
      <w:szCs w:val="12"/>
    </w:rPr>
  </w:style>
  <w:style w:type="paragraph" w:customStyle="1" w:styleId="xl31">
    <w:name w:val="xl31"/>
    <w:basedOn w:val="Normal"/>
    <w:pPr>
      <w:pBdr>
        <w:top w:val="single" w:sz="8" w:space="0" w:color="auto"/>
      </w:pBdr>
      <w:spacing w:before="100" w:beforeAutospacing="1" w:after="100" w:afterAutospacing="1"/>
    </w:pPr>
    <w:rPr>
      <w:rFonts w:ascii="Arial Unicode MS" w:eastAsia="Arial Unicode MS" w:hAnsi="Arial Unicode MS" w:cs="Arial Unicode MS"/>
      <w:color w:val="FF0000"/>
      <w:sz w:val="12"/>
      <w:szCs w:val="12"/>
    </w:rPr>
  </w:style>
  <w:style w:type="paragraph" w:customStyle="1" w:styleId="xl32">
    <w:name w:val="xl32"/>
    <w:basedOn w:val="Normal"/>
    <w:pPr>
      <w:pBdr>
        <w:top w:val="single" w:sz="8" w:space="0" w:color="auto"/>
      </w:pBdr>
      <w:spacing w:before="100" w:beforeAutospacing="1" w:after="100" w:afterAutospacing="1"/>
    </w:pPr>
    <w:rPr>
      <w:rFonts w:ascii="Arial Unicode MS" w:eastAsia="Arial Unicode MS" w:hAnsi="Arial Unicode MS" w:cs="Arial Unicode MS"/>
      <w:color w:val="FF0000"/>
      <w:sz w:val="12"/>
      <w:szCs w:val="12"/>
    </w:rPr>
  </w:style>
  <w:style w:type="paragraph" w:customStyle="1" w:styleId="xl33">
    <w:name w:val="xl33"/>
    <w:basedOn w:val="Normal"/>
    <w:pPr>
      <w:pBdr>
        <w:top w:val="single" w:sz="8" w:space="0" w:color="auto"/>
      </w:pBdr>
      <w:spacing w:before="100" w:beforeAutospacing="1" w:after="100" w:afterAutospacing="1"/>
    </w:pPr>
    <w:rPr>
      <w:rFonts w:ascii="Arial Unicode MS" w:eastAsia="Arial Unicode MS" w:hAnsi="Arial Unicode MS" w:cs="Arial Unicode MS"/>
      <w:sz w:val="12"/>
      <w:szCs w:val="12"/>
    </w:rPr>
  </w:style>
  <w:style w:type="paragraph" w:customStyle="1" w:styleId="xl34">
    <w:name w:val="xl34"/>
    <w:basedOn w:val="Normal"/>
    <w:pPr>
      <w:pBdr>
        <w:top w:val="single" w:sz="8" w:space="0" w:color="auto"/>
      </w:pBdr>
      <w:spacing w:before="100" w:beforeAutospacing="1" w:after="100" w:afterAutospacing="1"/>
    </w:pPr>
    <w:rPr>
      <w:rFonts w:ascii="Arial Unicode MS" w:eastAsia="Arial Unicode MS" w:hAnsi="Arial Unicode MS" w:cs="Arial Unicode MS"/>
      <w:sz w:val="12"/>
      <w:szCs w:val="12"/>
    </w:rPr>
  </w:style>
  <w:style w:type="paragraph" w:customStyle="1" w:styleId="xl35">
    <w:name w:val="xl35"/>
    <w:basedOn w:val="Normal"/>
    <w:pPr>
      <w:pBdr>
        <w:top w:val="single" w:sz="8" w:space="0" w:color="auto"/>
      </w:pBdr>
      <w:spacing w:before="100" w:beforeAutospacing="1" w:after="100" w:afterAutospacing="1"/>
      <w:jc w:val="center"/>
    </w:pPr>
    <w:rPr>
      <w:rFonts w:ascii="Arial Unicode MS" w:eastAsia="Arial Unicode MS" w:hAnsi="Arial Unicode MS" w:cs="Arial Unicode MS"/>
      <w:sz w:val="12"/>
      <w:szCs w:val="12"/>
    </w:rPr>
  </w:style>
  <w:style w:type="paragraph" w:customStyle="1" w:styleId="xl36">
    <w:name w:val="xl36"/>
    <w:basedOn w:val="Normal"/>
    <w:pPr>
      <w:pBdr>
        <w:top w:val="single" w:sz="8" w:space="0" w:color="auto"/>
      </w:pBdr>
      <w:spacing w:before="100" w:beforeAutospacing="1" w:after="100" w:afterAutospacing="1"/>
      <w:jc w:val="right"/>
    </w:pPr>
    <w:rPr>
      <w:rFonts w:ascii="Arial Unicode MS" w:eastAsia="Arial Unicode MS" w:hAnsi="Arial Unicode MS" w:cs="Arial Unicode MS"/>
      <w:sz w:val="12"/>
      <w:szCs w:val="12"/>
    </w:rPr>
  </w:style>
  <w:style w:type="paragraph" w:customStyle="1" w:styleId="xl37">
    <w:name w:val="xl37"/>
    <w:basedOn w:val="Normal"/>
    <w:pPr>
      <w:pBdr>
        <w:top w:val="single" w:sz="8" w:space="0" w:color="auto"/>
      </w:pBdr>
      <w:spacing w:before="100" w:beforeAutospacing="1" w:after="100" w:afterAutospacing="1"/>
      <w:jc w:val="center"/>
    </w:pPr>
    <w:rPr>
      <w:rFonts w:ascii="Arial Unicode MS" w:eastAsia="Arial Unicode MS" w:hAnsi="Arial Unicode MS" w:cs="Arial Unicode MS"/>
      <w:sz w:val="12"/>
      <w:szCs w:val="12"/>
    </w:rPr>
  </w:style>
  <w:style w:type="paragraph" w:customStyle="1" w:styleId="Corpsdetexte21">
    <w:name w:val="Corps de texte 21"/>
    <w:basedOn w:val="Retraitnormal"/>
    <w:pPr>
      <w:widowControl w:val="0"/>
      <w:spacing w:before="120" w:after="120"/>
      <w:ind w:left="709" w:firstLine="709"/>
      <w:jc w:val="both"/>
    </w:pPr>
    <w:rPr>
      <w:rFonts w:ascii="Times New Roman" w:hAnsi="Times New Roman"/>
      <w:szCs w:val="22"/>
    </w:rPr>
  </w:style>
  <w:style w:type="paragraph" w:styleId="Retraitnormal">
    <w:name w:val="Normal Indent"/>
    <w:basedOn w:val="Normal"/>
    <w:pPr>
      <w:ind w:left="708"/>
    </w:pPr>
  </w:style>
  <w:style w:type="paragraph" w:styleId="Retraitcorpsdetexte3">
    <w:name w:val="Body Text Indent 3"/>
    <w:basedOn w:val="Normal"/>
    <w:pPr>
      <w:ind w:right="536" w:firstLine="567"/>
      <w:jc w:val="both"/>
    </w:pPr>
    <w:rPr>
      <w:rFonts w:ascii="Times New Roman" w:hAnsi="Times New Roman"/>
      <w:sz w:val="24"/>
      <w:szCs w:val="20"/>
    </w:rPr>
  </w:style>
  <w:style w:type="paragraph" w:customStyle="1" w:styleId="Adresse">
    <w:name w:val="Adresse"/>
    <w:basedOn w:val="Normal"/>
    <w:pPr>
      <w:jc w:val="both"/>
    </w:pPr>
    <w:rPr>
      <w:rFonts w:ascii="Century Gothic" w:hAnsi="Century Gothic"/>
      <w:szCs w:val="20"/>
    </w:rPr>
  </w:style>
  <w:style w:type="paragraph" w:styleId="TM1">
    <w:name w:val="toc 1"/>
    <w:basedOn w:val="Normal"/>
    <w:next w:val="Normal"/>
    <w:autoRedefine/>
    <w:semiHidden/>
    <w:pPr>
      <w:pBdr>
        <w:top w:val="single" w:sz="4" w:space="1" w:color="auto" w:shadow="1"/>
        <w:left w:val="single" w:sz="4" w:space="4" w:color="auto" w:shadow="1"/>
        <w:bottom w:val="single" w:sz="4" w:space="1" w:color="auto" w:shadow="1"/>
        <w:right w:val="single" w:sz="4" w:space="4" w:color="auto" w:shadow="1"/>
      </w:pBdr>
      <w:shd w:val="clear" w:color="auto" w:fill="E0E0E0"/>
      <w:tabs>
        <w:tab w:val="right" w:leader="dot" w:pos="9062"/>
      </w:tabs>
      <w:jc w:val="center"/>
    </w:pPr>
    <w:rPr>
      <w:rFonts w:ascii="Century Gothic" w:hAnsi="Century Gothic"/>
      <w:b/>
      <w:bCs/>
      <w:caps/>
      <w:noProof/>
      <w:sz w:val="28"/>
      <w:szCs w:val="32"/>
      <w14:shadow w14:blurRad="50800" w14:dist="38100" w14:dir="2700000" w14:sx="100000" w14:sy="100000" w14:kx="0" w14:ky="0" w14:algn="tl">
        <w14:srgbClr w14:val="000000">
          <w14:alpha w14:val="60000"/>
        </w14:srgbClr>
      </w14:shadow>
    </w:rPr>
  </w:style>
  <w:style w:type="character" w:styleId="lev">
    <w:name w:val="Strong"/>
    <w:qFormat/>
    <w:rPr>
      <w:b/>
      <w:bCs/>
    </w:rPr>
  </w:style>
  <w:style w:type="paragraph" w:styleId="Textedebulles">
    <w:name w:val="Balloon Text"/>
    <w:basedOn w:val="Normal"/>
    <w:link w:val="TextedebullesCar"/>
    <w:rsid w:val="004B6589"/>
    <w:rPr>
      <w:rFonts w:ascii="Tahoma" w:hAnsi="Tahoma" w:cs="Tahoma"/>
      <w:sz w:val="16"/>
      <w:szCs w:val="16"/>
    </w:rPr>
  </w:style>
  <w:style w:type="character" w:customStyle="1" w:styleId="TextedebullesCar">
    <w:name w:val="Texte de bulles Car"/>
    <w:link w:val="Textedebulles"/>
    <w:rsid w:val="004B6589"/>
    <w:rPr>
      <w:rFonts w:ascii="Tahoma" w:hAnsi="Tahoma" w:cs="Tahoma"/>
      <w:sz w:val="16"/>
      <w:szCs w:val="16"/>
    </w:rPr>
  </w:style>
  <w:style w:type="paragraph" w:styleId="Normalcentr">
    <w:name w:val="Block Text"/>
    <w:basedOn w:val="Normal"/>
    <w:rsid w:val="00B47083"/>
    <w:pPr>
      <w:ind w:left="5760" w:right="1152"/>
    </w:pPr>
    <w:rPr>
      <w:rFonts w:ascii="Times New Roman" w:hAnsi="Times New Roman"/>
      <w:sz w:val="24"/>
    </w:rPr>
  </w:style>
  <w:style w:type="paragraph" w:customStyle="1" w:styleId="Normalcentr1">
    <w:name w:val="Normal centré1"/>
    <w:basedOn w:val="Normal"/>
    <w:rsid w:val="001D37E2"/>
    <w:pPr>
      <w:overflowPunct w:val="0"/>
      <w:autoSpaceDE w:val="0"/>
      <w:autoSpaceDN w:val="0"/>
      <w:adjustRightInd w:val="0"/>
      <w:ind w:left="1134" w:right="-2" w:firstLine="1134"/>
    </w:pPr>
    <w:rPr>
      <w:rFonts w:ascii="Times New Roman" w:hAnsi="Times New Roman"/>
      <w:sz w:val="24"/>
      <w:szCs w:val="20"/>
    </w:rPr>
  </w:style>
  <w:style w:type="paragraph" w:customStyle="1" w:styleId="Default">
    <w:name w:val="Default"/>
    <w:rsid w:val="00901DB2"/>
    <w:pPr>
      <w:autoSpaceDE w:val="0"/>
      <w:autoSpaceDN w:val="0"/>
      <w:adjustRightInd w:val="0"/>
    </w:pPr>
    <w:rPr>
      <w:rFonts w:ascii="Arial" w:hAnsi="Arial" w:cs="Arial"/>
      <w:color w:val="000000"/>
      <w:sz w:val="24"/>
      <w:szCs w:val="24"/>
    </w:rPr>
  </w:style>
  <w:style w:type="table" w:styleId="Grilledutableau">
    <w:name w:val="Table Grid"/>
    <w:basedOn w:val="TableauNormal"/>
    <w:rsid w:val="00842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link w:val="TitreCar"/>
    <w:qFormat/>
    <w:rsid w:val="00B929F7"/>
    <w:pPr>
      <w:pBdr>
        <w:top w:val="thinThickMediumGap" w:sz="24" w:space="1" w:color="auto"/>
        <w:left w:val="thinThickMediumGap" w:sz="24" w:space="4" w:color="auto"/>
        <w:bottom w:val="thickThinMediumGap" w:sz="24" w:space="1" w:color="auto"/>
        <w:right w:val="thickThinMediumGap" w:sz="24" w:space="4" w:color="auto"/>
      </w:pBdr>
      <w:spacing w:line="280" w:lineRule="atLeast"/>
      <w:jc w:val="center"/>
    </w:pPr>
    <w:rPr>
      <w:rFonts w:ascii="Arial" w:hAnsi="Arial"/>
      <w:b/>
      <w:sz w:val="28"/>
      <w:szCs w:val="20"/>
    </w:rPr>
  </w:style>
  <w:style w:type="character" w:customStyle="1" w:styleId="TitreCar">
    <w:name w:val="Titre Car"/>
    <w:link w:val="Titre"/>
    <w:rsid w:val="00B929F7"/>
    <w:rPr>
      <w:rFonts w:ascii="Arial" w:hAnsi="Arial"/>
      <w:b/>
      <w:sz w:val="28"/>
    </w:rPr>
  </w:style>
  <w:style w:type="character" w:styleId="Lienhypertexte">
    <w:name w:val="Hyperlink"/>
    <w:uiPriority w:val="99"/>
    <w:unhideWhenUsed/>
    <w:rsid w:val="000B5EDD"/>
    <w:rPr>
      <w:color w:val="0000FF"/>
      <w:u w:val="single"/>
    </w:rPr>
  </w:style>
  <w:style w:type="paragraph" w:customStyle="1" w:styleId="Objetendtail">
    <w:name w:val="Objet en détail"/>
    <w:basedOn w:val="Titre3"/>
    <w:rsid w:val="00126852"/>
    <w:pPr>
      <w:ind w:left="1134"/>
    </w:pPr>
    <w:rPr>
      <w:rFonts w:ascii="Century Gothic" w:hAnsi="Century Gothic" w:cs="Times New Roman"/>
      <w:b w:val="0"/>
      <w:bCs w:val="0"/>
      <w:smallCaps/>
      <w:sz w:val="24"/>
      <w:szCs w:val="20"/>
    </w:rPr>
  </w:style>
  <w:style w:type="paragraph" w:customStyle="1" w:styleId="western">
    <w:name w:val="western"/>
    <w:basedOn w:val="Normal"/>
    <w:rsid w:val="001914E7"/>
    <w:pPr>
      <w:spacing w:before="100" w:beforeAutospacing="1" w:after="142" w:line="276" w:lineRule="auto"/>
    </w:pPr>
    <w:rPr>
      <w:rFonts w:ascii="Liberation Serif" w:hAnsi="Liberation Serif" w:cs="Liberation Serif"/>
      <w:color w:val="00000A"/>
      <w:sz w:val="24"/>
    </w:rPr>
  </w:style>
  <w:style w:type="paragraph" w:styleId="NormalWeb">
    <w:name w:val="Normal (Web)"/>
    <w:basedOn w:val="Normal"/>
    <w:uiPriority w:val="99"/>
    <w:unhideWhenUsed/>
    <w:rsid w:val="00993855"/>
    <w:pPr>
      <w:spacing w:before="100" w:beforeAutospacing="1" w:after="142" w:line="276" w:lineRule="auto"/>
    </w:pPr>
    <w:rPr>
      <w:rFonts w:ascii="Times New Roman" w:hAnsi="Times New Roman"/>
      <w:color w:val="00000A"/>
      <w:sz w:val="24"/>
    </w:rPr>
  </w:style>
  <w:style w:type="character" w:customStyle="1" w:styleId="Corpsdetexte3Car">
    <w:name w:val="Corps de texte 3 Car"/>
    <w:link w:val="Corpsdetexte3"/>
    <w:rsid w:val="00AC2EA9"/>
    <w:rPr>
      <w:rFonts w:ascii="Arial Narrow" w:hAnsi="Arial Narrow"/>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956168">
      <w:bodyDiv w:val="1"/>
      <w:marLeft w:val="0"/>
      <w:marRight w:val="0"/>
      <w:marTop w:val="0"/>
      <w:marBottom w:val="0"/>
      <w:divBdr>
        <w:top w:val="none" w:sz="0" w:space="0" w:color="auto"/>
        <w:left w:val="none" w:sz="0" w:space="0" w:color="auto"/>
        <w:bottom w:val="none" w:sz="0" w:space="0" w:color="auto"/>
        <w:right w:val="none" w:sz="0" w:space="0" w:color="auto"/>
      </w:divBdr>
    </w:div>
    <w:div w:id="789470513">
      <w:bodyDiv w:val="1"/>
      <w:marLeft w:val="0"/>
      <w:marRight w:val="0"/>
      <w:marTop w:val="0"/>
      <w:marBottom w:val="0"/>
      <w:divBdr>
        <w:top w:val="none" w:sz="0" w:space="0" w:color="auto"/>
        <w:left w:val="none" w:sz="0" w:space="0" w:color="auto"/>
        <w:bottom w:val="none" w:sz="0" w:space="0" w:color="auto"/>
        <w:right w:val="none" w:sz="0" w:space="0" w:color="auto"/>
      </w:divBdr>
    </w:div>
    <w:div w:id="931402729">
      <w:bodyDiv w:val="1"/>
      <w:marLeft w:val="0"/>
      <w:marRight w:val="0"/>
      <w:marTop w:val="0"/>
      <w:marBottom w:val="0"/>
      <w:divBdr>
        <w:top w:val="none" w:sz="0" w:space="0" w:color="auto"/>
        <w:left w:val="none" w:sz="0" w:space="0" w:color="auto"/>
        <w:bottom w:val="none" w:sz="0" w:space="0" w:color="auto"/>
        <w:right w:val="none" w:sz="0" w:space="0" w:color="auto"/>
      </w:divBdr>
    </w:div>
    <w:div w:id="983895788">
      <w:bodyDiv w:val="1"/>
      <w:marLeft w:val="0"/>
      <w:marRight w:val="0"/>
      <w:marTop w:val="0"/>
      <w:marBottom w:val="0"/>
      <w:divBdr>
        <w:top w:val="none" w:sz="0" w:space="0" w:color="auto"/>
        <w:left w:val="none" w:sz="0" w:space="0" w:color="auto"/>
        <w:bottom w:val="none" w:sz="0" w:space="0" w:color="auto"/>
        <w:right w:val="none" w:sz="0" w:space="0" w:color="auto"/>
      </w:divBdr>
    </w:div>
    <w:div w:id="1000617042">
      <w:bodyDiv w:val="1"/>
      <w:marLeft w:val="0"/>
      <w:marRight w:val="0"/>
      <w:marTop w:val="0"/>
      <w:marBottom w:val="0"/>
      <w:divBdr>
        <w:top w:val="none" w:sz="0" w:space="0" w:color="auto"/>
        <w:left w:val="none" w:sz="0" w:space="0" w:color="auto"/>
        <w:bottom w:val="none" w:sz="0" w:space="0" w:color="auto"/>
        <w:right w:val="none" w:sz="0" w:space="0" w:color="auto"/>
      </w:divBdr>
    </w:div>
    <w:div w:id="1005210454">
      <w:bodyDiv w:val="1"/>
      <w:marLeft w:val="0"/>
      <w:marRight w:val="0"/>
      <w:marTop w:val="0"/>
      <w:marBottom w:val="0"/>
      <w:divBdr>
        <w:top w:val="none" w:sz="0" w:space="0" w:color="auto"/>
        <w:left w:val="none" w:sz="0" w:space="0" w:color="auto"/>
        <w:bottom w:val="none" w:sz="0" w:space="0" w:color="auto"/>
        <w:right w:val="none" w:sz="0" w:space="0" w:color="auto"/>
      </w:divBdr>
    </w:div>
    <w:div w:id="1313945568">
      <w:bodyDiv w:val="1"/>
      <w:marLeft w:val="0"/>
      <w:marRight w:val="0"/>
      <w:marTop w:val="0"/>
      <w:marBottom w:val="0"/>
      <w:divBdr>
        <w:top w:val="none" w:sz="0" w:space="0" w:color="auto"/>
        <w:left w:val="none" w:sz="0" w:space="0" w:color="auto"/>
        <w:bottom w:val="none" w:sz="0" w:space="0" w:color="auto"/>
        <w:right w:val="none" w:sz="0" w:space="0" w:color="auto"/>
      </w:divBdr>
    </w:div>
    <w:div w:id="1438063363">
      <w:bodyDiv w:val="1"/>
      <w:marLeft w:val="0"/>
      <w:marRight w:val="0"/>
      <w:marTop w:val="0"/>
      <w:marBottom w:val="0"/>
      <w:divBdr>
        <w:top w:val="none" w:sz="0" w:space="0" w:color="auto"/>
        <w:left w:val="none" w:sz="0" w:space="0" w:color="auto"/>
        <w:bottom w:val="none" w:sz="0" w:space="0" w:color="auto"/>
        <w:right w:val="none" w:sz="0" w:space="0" w:color="auto"/>
      </w:divBdr>
    </w:div>
    <w:div w:id="1658455793">
      <w:bodyDiv w:val="1"/>
      <w:marLeft w:val="0"/>
      <w:marRight w:val="0"/>
      <w:marTop w:val="0"/>
      <w:marBottom w:val="0"/>
      <w:divBdr>
        <w:top w:val="none" w:sz="0" w:space="0" w:color="auto"/>
        <w:left w:val="none" w:sz="0" w:space="0" w:color="auto"/>
        <w:bottom w:val="none" w:sz="0" w:space="0" w:color="auto"/>
        <w:right w:val="none" w:sz="0" w:space="0" w:color="auto"/>
      </w:divBdr>
    </w:div>
    <w:div w:id="1672413979">
      <w:bodyDiv w:val="1"/>
      <w:marLeft w:val="0"/>
      <w:marRight w:val="0"/>
      <w:marTop w:val="0"/>
      <w:marBottom w:val="0"/>
      <w:divBdr>
        <w:top w:val="none" w:sz="0" w:space="0" w:color="auto"/>
        <w:left w:val="none" w:sz="0" w:space="0" w:color="auto"/>
        <w:bottom w:val="none" w:sz="0" w:space="0" w:color="auto"/>
        <w:right w:val="none" w:sz="0" w:space="0" w:color="auto"/>
      </w:divBdr>
    </w:div>
    <w:div w:id="1758598576">
      <w:bodyDiv w:val="1"/>
      <w:marLeft w:val="0"/>
      <w:marRight w:val="0"/>
      <w:marTop w:val="0"/>
      <w:marBottom w:val="0"/>
      <w:divBdr>
        <w:top w:val="none" w:sz="0" w:space="0" w:color="auto"/>
        <w:left w:val="none" w:sz="0" w:space="0" w:color="auto"/>
        <w:bottom w:val="none" w:sz="0" w:space="0" w:color="auto"/>
        <w:right w:val="none" w:sz="0" w:space="0" w:color="auto"/>
      </w:divBdr>
    </w:div>
    <w:div w:id="1924141950">
      <w:bodyDiv w:val="1"/>
      <w:marLeft w:val="0"/>
      <w:marRight w:val="0"/>
      <w:marTop w:val="0"/>
      <w:marBottom w:val="0"/>
      <w:divBdr>
        <w:top w:val="none" w:sz="0" w:space="0" w:color="auto"/>
        <w:left w:val="none" w:sz="0" w:space="0" w:color="auto"/>
        <w:bottom w:val="none" w:sz="0" w:space="0" w:color="auto"/>
        <w:right w:val="none" w:sz="0" w:space="0" w:color="auto"/>
      </w:divBdr>
    </w:div>
    <w:div w:id="1934321627">
      <w:bodyDiv w:val="1"/>
      <w:marLeft w:val="0"/>
      <w:marRight w:val="0"/>
      <w:marTop w:val="0"/>
      <w:marBottom w:val="0"/>
      <w:divBdr>
        <w:top w:val="none" w:sz="0" w:space="0" w:color="auto"/>
        <w:left w:val="none" w:sz="0" w:space="0" w:color="auto"/>
        <w:bottom w:val="none" w:sz="0" w:space="0" w:color="auto"/>
        <w:right w:val="none" w:sz="0" w:space="0" w:color="auto"/>
      </w:divBdr>
      <w:divsChild>
        <w:div w:id="424762741">
          <w:marLeft w:val="0"/>
          <w:marRight w:val="0"/>
          <w:marTop w:val="0"/>
          <w:marBottom w:val="0"/>
          <w:divBdr>
            <w:top w:val="none" w:sz="0" w:space="0" w:color="auto"/>
            <w:left w:val="none" w:sz="0" w:space="0" w:color="auto"/>
            <w:bottom w:val="none" w:sz="0" w:space="0" w:color="auto"/>
            <w:right w:val="none" w:sz="0" w:space="0" w:color="auto"/>
          </w:divBdr>
        </w:div>
        <w:div w:id="462582622">
          <w:marLeft w:val="0"/>
          <w:marRight w:val="0"/>
          <w:marTop w:val="0"/>
          <w:marBottom w:val="0"/>
          <w:divBdr>
            <w:top w:val="none" w:sz="0" w:space="0" w:color="auto"/>
            <w:left w:val="none" w:sz="0" w:space="0" w:color="auto"/>
            <w:bottom w:val="none" w:sz="0" w:space="0" w:color="auto"/>
            <w:right w:val="none" w:sz="0" w:space="0" w:color="auto"/>
          </w:divBdr>
          <w:divsChild>
            <w:div w:id="212901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620836">
      <w:bodyDiv w:val="1"/>
      <w:marLeft w:val="0"/>
      <w:marRight w:val="0"/>
      <w:marTop w:val="0"/>
      <w:marBottom w:val="0"/>
      <w:divBdr>
        <w:top w:val="none" w:sz="0" w:space="0" w:color="auto"/>
        <w:left w:val="none" w:sz="0" w:space="0" w:color="auto"/>
        <w:bottom w:val="none" w:sz="0" w:space="0" w:color="auto"/>
        <w:right w:val="none" w:sz="0" w:space="0" w:color="auto"/>
      </w:divBdr>
    </w:div>
    <w:div w:id="2043894505">
      <w:bodyDiv w:val="1"/>
      <w:marLeft w:val="0"/>
      <w:marRight w:val="0"/>
      <w:marTop w:val="0"/>
      <w:marBottom w:val="0"/>
      <w:divBdr>
        <w:top w:val="none" w:sz="0" w:space="0" w:color="auto"/>
        <w:left w:val="none" w:sz="0" w:space="0" w:color="auto"/>
        <w:bottom w:val="none" w:sz="0" w:space="0" w:color="auto"/>
        <w:right w:val="none" w:sz="0" w:space="0" w:color="auto"/>
      </w:divBdr>
    </w:div>
    <w:div w:id="2086144275">
      <w:bodyDiv w:val="1"/>
      <w:marLeft w:val="0"/>
      <w:marRight w:val="0"/>
      <w:marTop w:val="0"/>
      <w:marBottom w:val="0"/>
      <w:divBdr>
        <w:top w:val="none" w:sz="0" w:space="0" w:color="auto"/>
        <w:left w:val="none" w:sz="0" w:space="0" w:color="auto"/>
        <w:bottom w:val="none" w:sz="0" w:space="0" w:color="auto"/>
        <w:right w:val="none" w:sz="0" w:space="0" w:color="auto"/>
      </w:divBdr>
    </w:div>
    <w:div w:id="2101901557">
      <w:bodyDiv w:val="1"/>
      <w:marLeft w:val="0"/>
      <w:marRight w:val="0"/>
      <w:marTop w:val="0"/>
      <w:marBottom w:val="0"/>
      <w:divBdr>
        <w:top w:val="none" w:sz="0" w:space="0" w:color="auto"/>
        <w:left w:val="none" w:sz="0" w:space="0" w:color="auto"/>
        <w:bottom w:val="none" w:sz="0" w:space="0" w:color="auto"/>
        <w:right w:val="none" w:sz="0" w:space="0" w:color="auto"/>
      </w:divBdr>
    </w:div>
    <w:div w:id="211867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NT\Profiles\Silly-N.000\Donn&#233;es%20d'applications\Microsoft\Mod&#232;les\fichebureau%20N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9ECA3-D5A4-4E61-9EC2-2ACDB87B9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fichebureau NS.dot</Template>
  <TotalTime>4</TotalTime>
  <Pages>5</Pages>
  <Words>2317</Words>
  <Characters>12499</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Monsieur le Maire,</vt:lpstr>
    </vt:vector>
  </TitlesOfParts>
  <Company>Rennes Metropole</Company>
  <LinksUpToDate>false</LinksUpToDate>
  <CharactersWithSpaces>14787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Monsieur le Maire,</dc:title>
  <dc:creator>INFORMATIQUE</dc:creator>
  <cp:lastModifiedBy>JULES-TARDIVELLE Nadine</cp:lastModifiedBy>
  <cp:revision>12</cp:revision>
  <cp:lastPrinted>2021-03-17T10:02:00Z</cp:lastPrinted>
  <dcterms:created xsi:type="dcterms:W3CDTF">2021-02-09T09:34:00Z</dcterms:created>
  <dcterms:modified xsi:type="dcterms:W3CDTF">2021-03-17T10:02:00Z</dcterms:modified>
</cp:coreProperties>
</file>